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1"/>
          <w:szCs w:val="21"/>
          <w:lang w:eastAsia="zh-CN"/>
        </w:rPr>
        <w:t>三明学院成绩学分绩点说明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360" w:firstLineChars="200"/>
        <w:textAlignment w:val="auto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  <w:lang w:eastAsia="zh-CN"/>
        </w:rPr>
        <w:t>一、</w:t>
      </w:r>
      <w:r>
        <w:rPr>
          <w:rFonts w:hint="eastAsia" w:ascii="宋体" w:hAnsi="宋体"/>
          <w:sz w:val="18"/>
          <w:szCs w:val="18"/>
        </w:rPr>
        <w:t>课程绩点计算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720" w:firstLineChars="400"/>
        <w:jc w:val="left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（一）考核成绩采用百分制时：课程绩点=课程成绩÷</w:t>
      </w:r>
      <w:r>
        <w:rPr>
          <w:rFonts w:ascii="宋体" w:hAnsi="宋体"/>
          <w:sz w:val="18"/>
          <w:szCs w:val="18"/>
        </w:rPr>
        <w:t>10</w:t>
      </w:r>
      <w:r>
        <w:rPr>
          <w:rFonts w:hint="eastAsia" w:ascii="宋体" w:hAnsi="宋体"/>
          <w:sz w:val="18"/>
          <w:szCs w:val="18"/>
        </w:rPr>
        <w:t>-</w:t>
      </w:r>
      <w:r>
        <w:rPr>
          <w:rFonts w:ascii="宋体" w:hAnsi="宋体"/>
          <w:sz w:val="18"/>
          <w:szCs w:val="18"/>
        </w:rPr>
        <w:t>5</w:t>
      </w:r>
      <w:r>
        <w:rPr>
          <w:rFonts w:hint="eastAsia" w:ascii="宋体" w:hAnsi="宋体"/>
          <w:sz w:val="18"/>
          <w:szCs w:val="18"/>
        </w:rPr>
        <w:t>（绩点小于1时作0对待）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720" w:firstLineChars="400"/>
        <w:jc w:val="left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（二）考核成绩采用五级制时，课程绩点：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023"/>
        <w:gridCol w:w="1178"/>
        <w:gridCol w:w="1178"/>
        <w:gridCol w:w="1178"/>
        <w:gridCol w:w="8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39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成绩</w:t>
            </w:r>
          </w:p>
        </w:tc>
        <w:tc>
          <w:tcPr>
            <w:tcW w:w="10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优秀（95）</w:t>
            </w:r>
          </w:p>
        </w:tc>
        <w:tc>
          <w:tcPr>
            <w:tcW w:w="11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良好（85）</w:t>
            </w:r>
          </w:p>
        </w:tc>
        <w:tc>
          <w:tcPr>
            <w:tcW w:w="117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中等（75）</w:t>
            </w:r>
          </w:p>
        </w:tc>
        <w:tc>
          <w:tcPr>
            <w:tcW w:w="11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及格（65）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不及格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39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课程</w:t>
            </w:r>
            <w:r>
              <w:rPr>
                <w:rFonts w:ascii="宋体" w:hAnsi="宋体"/>
                <w:sz w:val="18"/>
                <w:szCs w:val="18"/>
              </w:rPr>
              <w:t>绩点</w:t>
            </w:r>
          </w:p>
        </w:tc>
        <w:tc>
          <w:tcPr>
            <w:tcW w:w="10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4.5</w:t>
            </w:r>
          </w:p>
        </w:tc>
        <w:tc>
          <w:tcPr>
            <w:tcW w:w="11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3.5</w:t>
            </w:r>
          </w:p>
        </w:tc>
        <w:tc>
          <w:tcPr>
            <w:tcW w:w="117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2.5</w:t>
            </w:r>
          </w:p>
        </w:tc>
        <w:tc>
          <w:tcPr>
            <w:tcW w:w="11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1.5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720" w:firstLineChars="4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（三）补考成绩及格以上（含及格），课程绩点均记为1。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720" w:firstLineChars="4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（四）重修成绩及课程绩点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720" w:firstLineChars="4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1.考核成绩采用百分制时，课程绩点：</w:t>
      </w:r>
    </w:p>
    <w:tbl>
      <w:tblPr>
        <w:tblStyle w:val="3"/>
        <w:tblW w:w="4193" w:type="pct"/>
        <w:tblInd w:w="5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1500"/>
        <w:gridCol w:w="1653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41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重修</w:t>
            </w:r>
            <w:r>
              <w:rPr>
                <w:rFonts w:ascii="宋体" w:hAnsi="宋体"/>
                <w:sz w:val="18"/>
                <w:szCs w:val="18"/>
              </w:rPr>
              <w:t>成绩</w:t>
            </w:r>
          </w:p>
        </w:tc>
        <w:tc>
          <w:tcPr>
            <w:tcW w:w="1184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课程绩点</w:t>
            </w:r>
          </w:p>
        </w:tc>
        <w:tc>
          <w:tcPr>
            <w:tcW w:w="1305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重修</w:t>
            </w:r>
            <w:r>
              <w:rPr>
                <w:rFonts w:ascii="宋体" w:hAnsi="宋体"/>
                <w:sz w:val="18"/>
                <w:szCs w:val="18"/>
              </w:rPr>
              <w:t>成绩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课程绩点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24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90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～</w:t>
            </w:r>
            <w:r>
              <w:rPr>
                <w:rFonts w:hint="eastAsia" w:ascii="宋体" w:hAnsi="宋体"/>
                <w:sz w:val="18"/>
                <w:szCs w:val="18"/>
              </w:rPr>
              <w:t>100</w:t>
            </w:r>
          </w:p>
        </w:tc>
        <w:tc>
          <w:tcPr>
            <w:tcW w:w="118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4.0</w:t>
            </w:r>
          </w:p>
        </w:tc>
        <w:tc>
          <w:tcPr>
            <w:tcW w:w="130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72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～</w:t>
            </w:r>
            <w:r>
              <w:rPr>
                <w:rFonts w:hint="eastAsia" w:ascii="宋体" w:hAnsi="宋体"/>
                <w:sz w:val="18"/>
                <w:szCs w:val="18"/>
              </w:rPr>
              <w:t>74</w:t>
            </w:r>
          </w:p>
        </w:tc>
        <w:tc>
          <w:tcPr>
            <w:tcW w:w="126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2" w:hRule="atLeast"/>
        </w:trPr>
        <w:tc>
          <w:tcPr>
            <w:tcW w:w="1241" w:type="pct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85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～</w:t>
            </w:r>
            <w:r>
              <w:rPr>
                <w:rFonts w:hint="eastAsia" w:ascii="宋体" w:hAnsi="宋体"/>
                <w:sz w:val="18"/>
                <w:szCs w:val="18"/>
              </w:rPr>
              <w:t>89</w:t>
            </w:r>
          </w:p>
        </w:tc>
        <w:tc>
          <w:tcPr>
            <w:tcW w:w="1184" w:type="pct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  <w:tc>
          <w:tcPr>
            <w:tcW w:w="1305" w:type="pct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68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～</w:t>
            </w:r>
            <w:r>
              <w:rPr>
                <w:rFonts w:hint="eastAsia" w:ascii="宋体" w:hAnsi="宋体"/>
                <w:sz w:val="18"/>
                <w:szCs w:val="18"/>
              </w:rPr>
              <w:t>71</w:t>
            </w:r>
          </w:p>
        </w:tc>
        <w:tc>
          <w:tcPr>
            <w:tcW w:w="1267" w:type="pct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41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82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～</w:t>
            </w:r>
            <w:r>
              <w:rPr>
                <w:rFonts w:hint="eastAsia" w:ascii="宋体" w:hAnsi="宋体"/>
                <w:sz w:val="18"/>
                <w:szCs w:val="18"/>
              </w:rPr>
              <w:t>84</w:t>
            </w:r>
          </w:p>
        </w:tc>
        <w:tc>
          <w:tcPr>
            <w:tcW w:w="1184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3.3</w:t>
            </w:r>
          </w:p>
        </w:tc>
        <w:tc>
          <w:tcPr>
            <w:tcW w:w="1305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64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～</w:t>
            </w:r>
            <w:r>
              <w:rPr>
                <w:rFonts w:hint="eastAsia" w:ascii="宋体" w:hAnsi="宋体"/>
                <w:sz w:val="18"/>
                <w:szCs w:val="18"/>
              </w:rPr>
              <w:t>67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2" w:hRule="atLeast"/>
        </w:trPr>
        <w:tc>
          <w:tcPr>
            <w:tcW w:w="1241" w:type="pct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78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～</w:t>
            </w:r>
            <w:r>
              <w:rPr>
                <w:rFonts w:hint="eastAsia" w:ascii="宋体" w:hAnsi="宋体"/>
                <w:sz w:val="18"/>
                <w:szCs w:val="18"/>
              </w:rPr>
              <w:t>81</w:t>
            </w:r>
          </w:p>
        </w:tc>
        <w:tc>
          <w:tcPr>
            <w:tcW w:w="1184" w:type="pct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3.0</w:t>
            </w:r>
          </w:p>
        </w:tc>
        <w:tc>
          <w:tcPr>
            <w:tcW w:w="1305" w:type="pct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60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～</w:t>
            </w:r>
            <w:r>
              <w:rPr>
                <w:rFonts w:hint="eastAsia" w:ascii="宋体" w:hAnsi="宋体"/>
                <w:sz w:val="18"/>
                <w:szCs w:val="18"/>
              </w:rPr>
              <w:t>63</w:t>
            </w:r>
          </w:p>
        </w:tc>
        <w:tc>
          <w:tcPr>
            <w:tcW w:w="1267" w:type="pct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8" w:hRule="atLeast"/>
        </w:trPr>
        <w:tc>
          <w:tcPr>
            <w:tcW w:w="1241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75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～</w:t>
            </w:r>
            <w:r>
              <w:rPr>
                <w:rFonts w:hint="eastAsia" w:ascii="宋体" w:hAnsi="宋体"/>
                <w:sz w:val="18"/>
                <w:szCs w:val="18"/>
              </w:rPr>
              <w:t>77</w:t>
            </w:r>
          </w:p>
        </w:tc>
        <w:tc>
          <w:tcPr>
            <w:tcW w:w="1184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2.7</w:t>
            </w:r>
          </w:p>
        </w:tc>
        <w:tc>
          <w:tcPr>
            <w:tcW w:w="1305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60分以下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720" w:firstLineChars="4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2.考核成绩采用五级制时，课程绩点：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375"/>
        <w:gridCol w:w="1069"/>
        <w:gridCol w:w="1222"/>
        <w:gridCol w:w="1069"/>
        <w:gridCol w:w="9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1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重修</w:t>
            </w:r>
            <w:r>
              <w:rPr>
                <w:rFonts w:ascii="宋体" w:hAnsi="宋体"/>
                <w:sz w:val="18"/>
                <w:szCs w:val="18"/>
              </w:rPr>
              <w:t>成绩</w:t>
            </w:r>
          </w:p>
        </w:tc>
        <w:tc>
          <w:tcPr>
            <w:tcW w:w="13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优秀（95）</w:t>
            </w:r>
          </w:p>
        </w:tc>
        <w:tc>
          <w:tcPr>
            <w:tcW w:w="106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良好（85）</w:t>
            </w:r>
          </w:p>
        </w:tc>
        <w:tc>
          <w:tcPr>
            <w:tcW w:w="122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中等（75）</w:t>
            </w:r>
          </w:p>
        </w:tc>
        <w:tc>
          <w:tcPr>
            <w:tcW w:w="106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及格（65）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不及格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课程</w:t>
            </w:r>
            <w:r>
              <w:rPr>
                <w:rFonts w:ascii="宋体" w:hAnsi="宋体"/>
                <w:sz w:val="18"/>
                <w:szCs w:val="18"/>
              </w:rPr>
              <w:t>绩点</w:t>
            </w:r>
          </w:p>
        </w:tc>
        <w:tc>
          <w:tcPr>
            <w:tcW w:w="13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4.5</w:t>
            </w:r>
          </w:p>
        </w:tc>
        <w:tc>
          <w:tcPr>
            <w:tcW w:w="106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3.5</w:t>
            </w:r>
          </w:p>
        </w:tc>
        <w:tc>
          <w:tcPr>
            <w:tcW w:w="122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2.5</w:t>
            </w:r>
          </w:p>
        </w:tc>
        <w:tc>
          <w:tcPr>
            <w:tcW w:w="106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ind w:firstLine="360" w:firstLineChars="2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  <w:lang w:eastAsia="zh-CN"/>
        </w:rPr>
        <w:t>二、</w:t>
      </w:r>
      <w:r>
        <w:rPr>
          <w:rFonts w:hint="eastAsia" w:ascii="宋体" w:hAnsi="宋体"/>
          <w:sz w:val="18"/>
          <w:szCs w:val="18"/>
        </w:rPr>
        <w:t>学分绩点计算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ind w:firstLine="720" w:firstLineChars="4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学分绩点＝课程绩点×课程学分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ind w:firstLine="720" w:firstLineChars="4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平均学分绩点＝各门课程学分绩点之和÷某时段各门课程的学分数之和。</w:t>
      </w:r>
    </w:p>
    <w:p>
      <w:pPr>
        <w:spacing w:line="400" w:lineRule="exact"/>
        <w:jc w:val="center"/>
        <w:rPr>
          <w:rFonts w:hint="eastAsia"/>
          <w:b/>
          <w:sz w:val="18"/>
          <w:szCs w:val="18"/>
        </w:rPr>
      </w:pPr>
    </w:p>
    <w:p>
      <w:pPr>
        <w:spacing w:line="400" w:lineRule="exact"/>
        <w:jc w:val="center"/>
        <w:rPr>
          <w:rFonts w:hint="eastAsia"/>
          <w:b/>
          <w:sz w:val="18"/>
          <w:szCs w:val="18"/>
        </w:rPr>
      </w:pPr>
    </w:p>
    <w:p>
      <w:pPr>
        <w:spacing w:line="400" w:lineRule="exact"/>
        <w:jc w:val="center"/>
        <w:rPr>
          <w:rFonts w:hint="eastAsia"/>
          <w:b/>
          <w:sz w:val="18"/>
          <w:szCs w:val="18"/>
        </w:rPr>
      </w:pPr>
    </w:p>
    <w:p>
      <w:pPr>
        <w:spacing w:line="400" w:lineRule="exact"/>
        <w:jc w:val="both"/>
        <w:rPr>
          <w:rFonts w:hint="eastAsia"/>
          <w:b/>
          <w:sz w:val="18"/>
          <w:szCs w:val="18"/>
        </w:rPr>
      </w:pPr>
    </w:p>
    <w:p>
      <w:pPr>
        <w:jc w:val="center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 xml:space="preserve">The Official GPA Certification of </w:t>
      </w:r>
      <w:r>
        <w:rPr>
          <w:rFonts w:hint="eastAsia"/>
          <w:b/>
          <w:bCs/>
          <w:sz w:val="21"/>
          <w:szCs w:val="21"/>
          <w:lang w:val="en-US" w:eastAsia="zh-CN"/>
        </w:rPr>
        <w:t>Sanming</w:t>
      </w:r>
      <w:r>
        <w:rPr>
          <w:rFonts w:hint="eastAsia"/>
          <w:b/>
          <w:bCs/>
          <w:sz w:val="21"/>
          <w:szCs w:val="21"/>
          <w:lang w:eastAsia="zh-CN"/>
        </w:rPr>
        <w:t xml:space="preserve"> University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420" w:leftChars="0"/>
        <w:textAlignment w:val="auto"/>
        <w:rPr>
          <w:rFonts w:hint="default" w:ascii="Times New Roman" w:hAnsi="Times New Roman" w:cs="Times New Roman"/>
          <w:bCs/>
          <w:color w:val="000000"/>
          <w:kern w:val="0"/>
          <w:sz w:val="18"/>
          <w:szCs w:val="18"/>
        </w:rPr>
      </w:pPr>
      <w:r>
        <w:rPr>
          <w:rFonts w:hint="default" w:ascii="Times New Roman" w:hAnsi="Times New Roman" w:cs="Times New Roman"/>
          <w:bCs/>
          <w:color w:val="000000"/>
          <w:kern w:val="0"/>
          <w:sz w:val="18"/>
          <w:szCs w:val="18"/>
          <w:lang w:val="en-US"/>
        </w:rPr>
        <w:t xml:space="preserve"> </w:t>
      </w:r>
      <w:r>
        <w:rPr>
          <w:rFonts w:hint="default" w:ascii="Times New Roman" w:hAnsi="Times New Roman" w:cs="Times New Roman"/>
          <w:bCs/>
          <w:color w:val="000000"/>
          <w:kern w:val="0"/>
          <w:sz w:val="18"/>
          <w:szCs w:val="18"/>
          <w:lang w:val="en-US"/>
        </w:rPr>
        <w:fldChar w:fldCharType="begin"/>
      </w:r>
      <w:r>
        <w:rPr>
          <w:rFonts w:hint="default" w:ascii="Times New Roman" w:hAnsi="Times New Roman" w:cs="Times New Roman"/>
          <w:bCs/>
          <w:color w:val="000000"/>
          <w:kern w:val="0"/>
          <w:sz w:val="18"/>
          <w:szCs w:val="18"/>
          <w:lang w:val="en-US"/>
        </w:rPr>
        <w:instrText xml:space="preserve"> = 1 \* ROMAN \* MERGEFORMAT </w:instrText>
      </w:r>
      <w:r>
        <w:rPr>
          <w:rFonts w:hint="default" w:ascii="Times New Roman" w:hAnsi="Times New Roman" w:cs="Times New Roman"/>
          <w:bCs/>
          <w:color w:val="000000"/>
          <w:kern w:val="0"/>
          <w:sz w:val="18"/>
          <w:szCs w:val="18"/>
          <w:lang w:val="en-US"/>
        </w:rPr>
        <w:fldChar w:fldCharType="separate"/>
      </w:r>
      <w:r>
        <w:t>I</w:t>
      </w:r>
      <w:r>
        <w:rPr>
          <w:rFonts w:hint="default" w:ascii="Times New Roman" w:hAnsi="Times New Roman" w:cs="Times New Roman"/>
          <w:bCs/>
          <w:color w:val="000000"/>
          <w:kern w:val="0"/>
          <w:sz w:val="18"/>
          <w:szCs w:val="18"/>
          <w:lang w:val="en-US"/>
        </w:rPr>
        <w:fldChar w:fldCharType="end"/>
      </w:r>
      <w:r>
        <w:rPr>
          <w:rFonts w:hint="default" w:ascii="Times New Roman" w:hAnsi="Times New Roman" w:cs="Times New Roman"/>
          <w:bCs/>
          <w:color w:val="000000"/>
          <w:kern w:val="0"/>
          <w:sz w:val="18"/>
          <w:szCs w:val="18"/>
          <w:lang w:val="en-US"/>
        </w:rPr>
        <w:t xml:space="preserve">. </w:t>
      </w:r>
      <w:r>
        <w:rPr>
          <w:rFonts w:hint="default" w:ascii="Times New Roman" w:hAnsi="Times New Roman" w:cs="Times New Roman"/>
          <w:bCs/>
          <w:color w:val="000000"/>
          <w:kern w:val="0"/>
          <w:sz w:val="18"/>
          <w:szCs w:val="18"/>
        </w:rPr>
        <w:t xml:space="preserve">Method of </w:t>
      </w:r>
      <w:r>
        <w:rPr>
          <w:rFonts w:hint="default" w:ascii="Times New Roman" w:hAnsi="Times New Roman" w:cs="Times New Roman"/>
          <w:bCs/>
          <w:color w:val="000000"/>
          <w:kern w:val="0"/>
          <w:sz w:val="18"/>
          <w:szCs w:val="18"/>
          <w:lang w:val="en-US" w:eastAsia="zh-CN"/>
        </w:rPr>
        <w:t>C</w:t>
      </w:r>
      <w:r>
        <w:rPr>
          <w:rFonts w:hint="default" w:ascii="Times New Roman" w:hAnsi="Times New Roman" w:cs="Times New Roman"/>
          <w:bCs/>
          <w:color w:val="000000"/>
          <w:kern w:val="0"/>
          <w:sz w:val="18"/>
          <w:szCs w:val="18"/>
        </w:rPr>
        <w:t xml:space="preserve">alculating </w:t>
      </w:r>
      <w:r>
        <w:rPr>
          <w:rFonts w:hint="eastAsia" w:ascii="Times New Roman" w:hAnsi="Times New Roman" w:cs="Times New Roman"/>
          <w:bCs/>
          <w:color w:val="000000"/>
          <w:kern w:val="0"/>
          <w:sz w:val="18"/>
          <w:szCs w:val="18"/>
          <w:lang w:val="en-US" w:eastAsia="zh-CN"/>
        </w:rPr>
        <w:t>Grade Point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Chars="200" w:firstLine="360" w:firstLineChars="200"/>
        <w:textAlignment w:val="auto"/>
        <w:rPr>
          <w:rFonts w:hint="default" w:ascii="Times New Roman" w:hAnsi="Times New Roman" w:eastAsia="宋体" w:cs="Times New Roman"/>
          <w:sz w:val="18"/>
          <w:szCs w:val="18"/>
          <w:lang w:val="en-US"/>
        </w:rPr>
      </w:pPr>
      <w:r>
        <w:rPr>
          <w:rFonts w:hint="default" w:ascii="Times New Roman" w:hAnsi="Times New Roman" w:cs="Times New Roman"/>
          <w:bCs/>
          <w:color w:val="000000"/>
          <w:kern w:val="0"/>
          <w:sz w:val="18"/>
          <w:szCs w:val="18"/>
          <w:lang w:val="en-US" w:eastAsia="zh-CN"/>
        </w:rPr>
        <w:t xml:space="preserve">On the condition that the assessment result is given with hundred mark system: </w:t>
      </w:r>
      <w:r>
        <w:rPr>
          <w:rFonts w:hint="eastAsia" w:ascii="Times New Roman" w:hAnsi="Times New Roman" w:cs="Times New Roman"/>
          <w:b w:val="0"/>
          <w:bCs/>
          <w:color w:val="000000"/>
          <w:kern w:val="0"/>
          <w:sz w:val="18"/>
          <w:szCs w:val="18"/>
          <w:lang w:val="en-US" w:eastAsia="zh-CN"/>
        </w:rPr>
        <w:t>Grade Point</w:t>
      </w:r>
      <w:r>
        <w:rPr>
          <w:rFonts w:hint="default" w:ascii="Times New Roman" w:hAnsi="Times New Roman" w:eastAsia="宋体" w:cs="Times New Roman"/>
          <w:b w:val="0"/>
          <w:bCs/>
          <w:sz w:val="18"/>
          <w:szCs w:val="18"/>
          <w:lang w:val="en-US"/>
        </w:rPr>
        <w:t xml:space="preserve"> = </w:t>
      </w:r>
      <w:r>
        <w:rPr>
          <w:rFonts w:hint="eastAsia" w:ascii="Times New Roman" w:hAnsi="Times New Roman" w:eastAsia="宋体" w:cs="Times New Roman"/>
          <w:b w:val="0"/>
          <w:bCs/>
          <w:sz w:val="18"/>
          <w:szCs w:val="18"/>
          <w:lang w:val="en-US" w:eastAsia="zh-CN"/>
        </w:rPr>
        <w:t>C</w:t>
      </w:r>
      <w:r>
        <w:rPr>
          <w:rFonts w:hint="default" w:ascii="Times New Roman" w:hAnsi="Times New Roman" w:eastAsia="宋体" w:cs="Times New Roman"/>
          <w:b w:val="0"/>
          <w:bCs/>
          <w:sz w:val="18"/>
          <w:szCs w:val="18"/>
          <w:lang w:val="en-US"/>
        </w:rPr>
        <w:t xml:space="preserve">ourse </w:t>
      </w:r>
      <w:r>
        <w:rPr>
          <w:rFonts w:hint="eastAsia" w:ascii="Times New Roman" w:hAnsi="Times New Roman" w:eastAsia="宋体" w:cs="Times New Roman"/>
          <w:b w:val="0"/>
          <w:bCs/>
          <w:sz w:val="18"/>
          <w:szCs w:val="18"/>
          <w:lang w:val="en-US" w:eastAsia="zh-CN"/>
        </w:rPr>
        <w:t>G</w:t>
      </w:r>
      <w:r>
        <w:rPr>
          <w:rFonts w:hint="default" w:ascii="Times New Roman" w:hAnsi="Times New Roman" w:eastAsia="宋体" w:cs="Times New Roman"/>
          <w:b w:val="0"/>
          <w:bCs/>
          <w:sz w:val="18"/>
          <w:szCs w:val="18"/>
          <w:lang w:val="en-US"/>
        </w:rPr>
        <w:t xml:space="preserve">rade </w:t>
      </w:r>
      <w:r>
        <w:rPr>
          <w:rFonts w:hint="eastAsia" w:ascii="宋体" w:hAnsi="宋体"/>
          <w:b w:val="0"/>
          <w:bCs/>
          <w:sz w:val="18"/>
          <w:szCs w:val="18"/>
        </w:rPr>
        <w:t>÷</w:t>
      </w:r>
      <w:r>
        <w:rPr>
          <w:rFonts w:hint="default" w:ascii="Times New Roman" w:hAnsi="Times New Roman" w:eastAsia="宋体" w:cs="Times New Roman"/>
          <w:b w:val="0"/>
          <w:bCs/>
          <w:sz w:val="18"/>
          <w:szCs w:val="18"/>
          <w:lang w:val="en-US"/>
        </w:rPr>
        <w:t>10-5</w:t>
      </w:r>
      <w:r>
        <w:rPr>
          <w:rFonts w:hint="default" w:ascii="Times New Roman" w:hAnsi="Times New Roman" w:eastAsia="宋体" w:cs="Times New Roman"/>
          <w:b/>
          <w:bCs w:val="0"/>
          <w:sz w:val="18"/>
          <w:szCs w:val="18"/>
          <w:lang w:val="en-US"/>
        </w:rPr>
        <w:t xml:space="preserve"> </w:t>
      </w:r>
      <w:r>
        <w:rPr>
          <w:rFonts w:hint="default" w:ascii="Times New Roman" w:hAnsi="Times New Roman" w:eastAsia="宋体" w:cs="Times New Roman"/>
          <w:sz w:val="18"/>
          <w:szCs w:val="18"/>
          <w:lang w:val="en-US"/>
        </w:rPr>
        <w:t>(if the grade point is less than 1, it will be treated as 0)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420" w:leftChars="200" w:firstLine="360" w:firstLineChars="200"/>
        <w:textAlignment w:val="auto"/>
        <w:rPr>
          <w:rFonts w:hint="eastAsia" w:ascii="Times New Roman" w:hAnsi="Times New Roman" w:eastAsia="宋体" w:cs="Times New Roman"/>
          <w:sz w:val="18"/>
          <w:szCs w:val="18"/>
          <w:lang w:val="en-US"/>
        </w:rPr>
      </w:pP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 xml:space="preserve">On the condition that the assessment result is given with a five-band scale the corresponding scores and grade points are displayed in the following table: 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275"/>
        <w:gridCol w:w="1077"/>
        <w:gridCol w:w="1366"/>
        <w:gridCol w:w="1199"/>
        <w:gridCol w:w="8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4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Score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Excellent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（95）</w:t>
            </w:r>
          </w:p>
        </w:tc>
        <w:tc>
          <w:tcPr>
            <w:tcW w:w="107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Good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（85）</w:t>
            </w:r>
          </w:p>
        </w:tc>
        <w:tc>
          <w:tcPr>
            <w:tcW w:w="136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Medium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（75）</w:t>
            </w:r>
          </w:p>
        </w:tc>
        <w:tc>
          <w:tcPr>
            <w:tcW w:w="119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Pass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（65）</w:t>
            </w:r>
          </w:p>
        </w:tc>
        <w:tc>
          <w:tcPr>
            <w:tcW w:w="89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Fail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14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Grade Point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107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136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19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89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420" w:leftChars="200" w:firstLine="360" w:firstLineChars="200"/>
        <w:textAlignment w:val="auto"/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 xml:space="preserve">On the condition that the assessment result is obtained through makeup exam, when the result is a band over 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“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Pass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”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 xml:space="preserve"> (including 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“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Pass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”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 xml:space="preserve">), the corresponding grade point is 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“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”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420" w:leftChars="200" w:firstLine="360" w:firstLineChars="200"/>
        <w:textAlignment w:val="auto"/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Retake score and grade point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Chars="200" w:firstLine="360" w:firstLineChars="200"/>
        <w:textAlignment w:val="auto"/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/>
          <w:bCs/>
          <w:color w:val="000000"/>
          <w:kern w:val="0"/>
          <w:sz w:val="18"/>
          <w:szCs w:val="18"/>
          <w:lang w:val="en-US" w:eastAsia="zh-CN"/>
        </w:rPr>
        <w:t>4.1 On the condition that the assessment result is given with hundred mark system</w:t>
      </w:r>
      <w:r>
        <w:rPr>
          <w:rFonts w:hint="eastAsia" w:ascii="Times New Roman" w:hAnsi="Times New Roman" w:cs="Times New Roman"/>
          <w:bCs/>
          <w:color w:val="000000"/>
          <w:kern w:val="0"/>
          <w:sz w:val="18"/>
          <w:szCs w:val="18"/>
          <w:lang w:val="en-US" w:eastAsia="zh-CN"/>
        </w:rPr>
        <w:t>, t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he corresponding retake scores and grade points are displayed in the following table:</w:t>
      </w:r>
    </w:p>
    <w:tbl>
      <w:tblPr>
        <w:tblStyle w:val="3"/>
        <w:tblpPr w:leftFromText="180" w:rightFromText="180" w:vertAnchor="text" w:horzAnchor="page" w:tblpX="9338" w:tblpY="59"/>
        <w:tblOverlap w:val="never"/>
        <w:tblW w:w="414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485"/>
        <w:gridCol w:w="159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47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Retake Score</w:t>
            </w:r>
          </w:p>
        </w:tc>
        <w:tc>
          <w:tcPr>
            <w:tcW w:w="1185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Grade Point</w:t>
            </w:r>
          </w:p>
        </w:tc>
        <w:tc>
          <w:tcPr>
            <w:tcW w:w="1269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Retake Score</w:t>
            </w:r>
          </w:p>
        </w:tc>
        <w:tc>
          <w:tcPr>
            <w:tcW w:w="1197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Grade Point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4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hint="default" w:ascii="Times New Roman" w:hAnsi="Times New Roman" w:eastAsia="楷体" w:cs="Times New Roman"/>
                <w:sz w:val="18"/>
                <w:szCs w:val="18"/>
              </w:rPr>
              <w:t>～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4.0</w:t>
            </w:r>
          </w:p>
        </w:tc>
        <w:tc>
          <w:tcPr>
            <w:tcW w:w="126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72～74</w:t>
            </w:r>
          </w:p>
        </w:tc>
        <w:tc>
          <w:tcPr>
            <w:tcW w:w="119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47" w:type="pct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85</w:t>
            </w:r>
            <w:r>
              <w:rPr>
                <w:rFonts w:hint="default" w:ascii="Times New Roman" w:hAnsi="Times New Roman" w:eastAsia="楷体" w:cs="Times New Roman"/>
                <w:sz w:val="18"/>
                <w:szCs w:val="18"/>
              </w:rPr>
              <w:t>～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185" w:type="pct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1269" w:type="pct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68～71</w:t>
            </w:r>
          </w:p>
        </w:tc>
        <w:tc>
          <w:tcPr>
            <w:tcW w:w="1197" w:type="pct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47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82</w:t>
            </w:r>
            <w:r>
              <w:rPr>
                <w:rFonts w:hint="default" w:ascii="Times New Roman" w:hAnsi="Times New Roman" w:eastAsia="楷体" w:cs="Times New Roman"/>
                <w:sz w:val="18"/>
                <w:szCs w:val="18"/>
              </w:rPr>
              <w:t>～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185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269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64～67</w:t>
            </w:r>
          </w:p>
        </w:tc>
        <w:tc>
          <w:tcPr>
            <w:tcW w:w="1197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47" w:type="pct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78</w:t>
            </w:r>
            <w:r>
              <w:rPr>
                <w:rFonts w:hint="default" w:ascii="Times New Roman" w:hAnsi="Times New Roman" w:eastAsia="楷体" w:cs="Times New Roman"/>
                <w:sz w:val="18"/>
                <w:szCs w:val="18"/>
              </w:rPr>
              <w:t>～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185" w:type="pct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1269" w:type="pct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60～63</w:t>
            </w:r>
          </w:p>
        </w:tc>
        <w:tc>
          <w:tcPr>
            <w:tcW w:w="1197" w:type="pct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47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75～77</w:t>
            </w:r>
          </w:p>
        </w:tc>
        <w:tc>
          <w:tcPr>
            <w:tcW w:w="1185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1269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 xml:space="preserve">Below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97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firstLine="360" w:firstLineChars="200"/>
        <w:textAlignment w:val="auto"/>
        <w:rPr>
          <w:rFonts w:hint="eastAsia" w:ascii="Times New Roman" w:hAnsi="Times New Roman" w:cs="Times New Roman"/>
          <w:bCs/>
          <w:color w:val="000000"/>
          <w:kern w:val="0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firstLine="360" w:firstLineChars="200"/>
        <w:textAlignment w:val="auto"/>
        <w:rPr>
          <w:rFonts w:hint="eastAsia" w:ascii="Times New Roman" w:hAnsi="Times New Roman" w:cs="Times New Roman"/>
          <w:bCs/>
          <w:color w:val="000000"/>
          <w:kern w:val="0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firstLine="0" w:firstLineChars="0"/>
        <w:textAlignment w:val="auto"/>
        <w:rPr>
          <w:rFonts w:hint="eastAsia" w:ascii="Times New Roman" w:hAnsi="Times New Roman" w:cs="Times New Roman"/>
          <w:bCs/>
          <w:color w:val="000000"/>
          <w:kern w:val="0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firstLine="0" w:firstLineChars="0"/>
        <w:textAlignment w:val="auto"/>
        <w:rPr>
          <w:rFonts w:hint="eastAsia" w:ascii="Times New Roman" w:hAnsi="Times New Roman" w:cs="Times New Roman"/>
          <w:bCs/>
          <w:color w:val="000000"/>
          <w:kern w:val="0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firstLine="0" w:firstLineChars="0"/>
        <w:textAlignment w:val="auto"/>
        <w:rPr>
          <w:rFonts w:hint="eastAsia" w:ascii="Times New Roman" w:hAnsi="Times New Roman" w:cs="Times New Roman"/>
          <w:bCs/>
          <w:color w:val="000000"/>
          <w:kern w:val="0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firstLine="0" w:firstLineChars="0"/>
        <w:textAlignment w:val="auto"/>
        <w:rPr>
          <w:rFonts w:hint="eastAsia" w:ascii="Times New Roman" w:hAnsi="Times New Roman" w:cs="Times New Roman"/>
          <w:bCs/>
          <w:color w:val="000000"/>
          <w:kern w:val="0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firstLine="0" w:firstLineChars="0"/>
        <w:textAlignment w:val="auto"/>
        <w:rPr>
          <w:rFonts w:hint="eastAsia" w:ascii="Times New Roman" w:hAnsi="Times New Roman" w:cs="Times New Roman"/>
          <w:bCs/>
          <w:color w:val="000000"/>
          <w:kern w:val="0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firstLine="0" w:firstLineChars="0"/>
        <w:textAlignment w:val="auto"/>
        <w:rPr>
          <w:rFonts w:hint="eastAsia" w:ascii="Times New Roman" w:hAnsi="Times New Roman" w:cs="Times New Roman"/>
          <w:bCs/>
          <w:color w:val="000000"/>
          <w:kern w:val="0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firstLine="0" w:firstLineChars="0"/>
        <w:textAlignment w:val="auto"/>
        <w:rPr>
          <w:rFonts w:hint="eastAsia" w:ascii="Times New Roman" w:hAnsi="Times New Roman" w:cs="Times New Roman"/>
          <w:bCs/>
          <w:color w:val="000000"/>
          <w:kern w:val="0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firstLine="0" w:firstLineChars="0"/>
        <w:textAlignment w:val="auto"/>
        <w:rPr>
          <w:rFonts w:hint="eastAsia" w:ascii="Times New Roman" w:hAnsi="Times New Roman" w:cs="Times New Roman"/>
          <w:bCs/>
          <w:color w:val="000000"/>
          <w:kern w:val="0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firstLine="0" w:firstLineChars="0"/>
        <w:textAlignment w:val="auto"/>
        <w:rPr>
          <w:rFonts w:hint="eastAsia" w:ascii="Times New Roman" w:hAnsi="Times New Roman" w:cs="Times New Roman"/>
          <w:bCs/>
          <w:color w:val="000000"/>
          <w:kern w:val="0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firstLine="0" w:firstLineChars="0"/>
        <w:textAlignment w:val="auto"/>
        <w:rPr>
          <w:rFonts w:hint="eastAsia" w:ascii="Times New Roman" w:hAnsi="Times New Roman" w:cs="Times New Roman"/>
          <w:bCs/>
          <w:color w:val="000000"/>
          <w:kern w:val="0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Chars="200" w:firstLine="360" w:firstLineChars="200"/>
        <w:textAlignment w:val="auto"/>
        <w:rPr>
          <w:rFonts w:hint="eastAsia" w:ascii="Times New Roman" w:hAnsi="Times New Roman" w:eastAsia="宋体" w:cs="Times New Roman"/>
          <w:sz w:val="18"/>
          <w:szCs w:val="18"/>
          <w:lang w:val="en-US"/>
        </w:rPr>
      </w:pP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 xml:space="preserve">4.2 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 xml:space="preserve">On the condition that the assessment result is given with a five-band scale the corresponding retake scores and grade points are displayed in the following table: </w:t>
      </w:r>
    </w:p>
    <w:tbl>
      <w:tblPr>
        <w:tblStyle w:val="2"/>
        <w:tblpPr w:leftFromText="180" w:rightFromText="180" w:vertAnchor="text" w:horzAnchor="page" w:tblpX="9156" w:tblpY="89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375"/>
        <w:gridCol w:w="1054"/>
        <w:gridCol w:w="1336"/>
        <w:gridCol w:w="1234"/>
        <w:gridCol w:w="9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23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 xml:space="preserve">Retake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Score</w:t>
            </w:r>
          </w:p>
        </w:tc>
        <w:tc>
          <w:tcPr>
            <w:tcW w:w="13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Excellent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（95）</w:t>
            </w:r>
          </w:p>
        </w:tc>
        <w:tc>
          <w:tcPr>
            <w:tcW w:w="10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Good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（85）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Medium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（75）</w:t>
            </w:r>
          </w:p>
        </w:tc>
        <w:tc>
          <w:tcPr>
            <w:tcW w:w="12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Pass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（65）</w:t>
            </w:r>
          </w:p>
        </w:tc>
        <w:tc>
          <w:tcPr>
            <w:tcW w:w="92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Fail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3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Grade Point</w:t>
            </w:r>
          </w:p>
        </w:tc>
        <w:tc>
          <w:tcPr>
            <w:tcW w:w="13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10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92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firstLine="0" w:firstLineChars="0"/>
        <w:textAlignment w:val="auto"/>
        <w:rPr>
          <w:rFonts w:hint="eastAsia" w:ascii="Times New Roman" w:hAnsi="Times New Roman" w:cs="Times New Roman"/>
          <w:bCs/>
          <w:color w:val="000000"/>
          <w:kern w:val="0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420" w:leftChars="0"/>
        <w:textAlignment w:val="auto"/>
        <w:rPr>
          <w:rFonts w:hint="default" w:ascii="Times New Roman" w:hAnsi="Times New Roman" w:cs="Times New Roman"/>
          <w:bCs/>
          <w:color w:val="000000"/>
          <w:kern w:val="0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/>
          <w:bCs/>
          <w:color w:val="000000"/>
          <w:kern w:val="0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bCs/>
          <w:color w:val="000000"/>
          <w:kern w:val="0"/>
          <w:sz w:val="18"/>
          <w:szCs w:val="18"/>
        </w:rPr>
        <w:instrText xml:space="preserve"> = 2 \* ROMAN \* MERGEFORMAT </w:instrText>
      </w:r>
      <w:r>
        <w:rPr>
          <w:rFonts w:hint="default" w:ascii="Times New Roman" w:hAnsi="Times New Roman" w:cs="Times New Roman"/>
          <w:bCs/>
          <w:color w:val="000000"/>
          <w:kern w:val="0"/>
          <w:sz w:val="18"/>
          <w:szCs w:val="18"/>
        </w:rPr>
        <w:fldChar w:fldCharType="separate"/>
      </w:r>
      <w:r>
        <w:t>II</w:t>
      </w:r>
      <w:r>
        <w:rPr>
          <w:rFonts w:hint="default" w:ascii="Times New Roman" w:hAnsi="Times New Roman" w:cs="Times New Roman"/>
          <w:bCs/>
          <w:color w:val="000000"/>
          <w:kern w:val="0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bCs/>
          <w:color w:val="000000"/>
          <w:kern w:val="0"/>
          <w:sz w:val="18"/>
          <w:szCs w:val="18"/>
          <w:lang w:val="en-US"/>
        </w:rPr>
        <w:t xml:space="preserve">. </w:t>
      </w:r>
      <w:r>
        <w:rPr>
          <w:rFonts w:hint="default" w:ascii="Times New Roman" w:hAnsi="Times New Roman" w:cs="Times New Roman"/>
          <w:bCs/>
          <w:color w:val="000000"/>
          <w:kern w:val="0"/>
          <w:sz w:val="18"/>
          <w:szCs w:val="18"/>
        </w:rPr>
        <w:t xml:space="preserve">Method of </w:t>
      </w:r>
      <w:r>
        <w:rPr>
          <w:rFonts w:hint="default" w:ascii="Times New Roman" w:hAnsi="Times New Roman" w:cs="Times New Roman"/>
          <w:bCs/>
          <w:color w:val="000000"/>
          <w:kern w:val="0"/>
          <w:sz w:val="18"/>
          <w:szCs w:val="18"/>
          <w:lang w:val="en-US" w:eastAsia="zh-CN"/>
        </w:rPr>
        <w:t>C</w:t>
      </w:r>
      <w:r>
        <w:rPr>
          <w:rFonts w:hint="default" w:ascii="Times New Roman" w:hAnsi="Times New Roman" w:cs="Times New Roman"/>
          <w:bCs/>
          <w:color w:val="000000"/>
          <w:kern w:val="0"/>
          <w:sz w:val="18"/>
          <w:szCs w:val="18"/>
        </w:rPr>
        <w:t xml:space="preserve">alculating </w:t>
      </w:r>
      <w:r>
        <w:rPr>
          <w:rFonts w:hint="default" w:ascii="Times New Roman" w:hAnsi="Times New Roman" w:cs="Times New Roman"/>
          <w:bCs/>
          <w:color w:val="000000"/>
          <w:kern w:val="0"/>
          <w:sz w:val="18"/>
          <w:szCs w:val="18"/>
          <w:lang w:val="en-US" w:eastAsia="zh-CN"/>
        </w:rPr>
        <w:t>GPA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firstLine="720" w:firstLineChars="400"/>
        <w:textAlignment w:val="auto"/>
        <w:rPr>
          <w:rFonts w:hint="default" w:ascii="Times New Roman" w:hAnsi="Times New Roman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>Curricula Grade Point=Grade Point</w:t>
      </w:r>
      <w:r>
        <w:rPr>
          <w:rFonts w:hint="default" w:ascii="Times New Roman" w:hAnsi="Times New Roman" w:cs="Times New Roman"/>
          <w:sz w:val="18"/>
          <w:szCs w:val="18"/>
        </w:rPr>
        <w:t>×</w:t>
      </w: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 xml:space="preserve"> Course Credit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357" w:leftChars="170" w:firstLine="360" w:firstLineChars="200"/>
        <w:jc w:val="left"/>
        <w:textAlignment w:val="auto"/>
        <w:rPr>
          <w:rFonts w:hint="eastAsia" w:ascii="宋体" w:hAnsi="宋体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>Grade Point Average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(</w:t>
      </w: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>GPA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）</w:t>
      </w: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 xml:space="preserve">=the 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 xml:space="preserve">um of the 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C</w:t>
      </w: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 xml:space="preserve">urricula 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G</w:t>
      </w: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 xml:space="preserve">rade 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P</w:t>
      </w: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 xml:space="preserve">oint of 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 xml:space="preserve">ach 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C</w:t>
      </w: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>ourse</w:t>
      </w:r>
      <w:r>
        <w:rPr>
          <w:rFonts w:hint="eastAsia" w:ascii="宋体" w:hAnsi="宋体"/>
          <w:sz w:val="18"/>
          <w:szCs w:val="18"/>
        </w:rPr>
        <w:t>÷</w:t>
      </w:r>
      <w:r>
        <w:rPr>
          <w:rFonts w:hint="default" w:ascii="Times New Roman" w:hAnsi="Times New Roman" w:eastAsia="宋体" w:cs="Times New Roman"/>
          <w:sz w:val="18"/>
          <w:szCs w:val="18"/>
          <w:lang w:val="en-US"/>
        </w:rPr>
        <w:t xml:space="preserve">the 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S</w:t>
      </w:r>
      <w:r>
        <w:rPr>
          <w:rFonts w:hint="default" w:ascii="Times New Roman" w:hAnsi="Times New Roman" w:eastAsia="宋体" w:cs="Times New Roman"/>
          <w:sz w:val="18"/>
          <w:szCs w:val="18"/>
          <w:lang w:val="en-US"/>
        </w:rPr>
        <w:t xml:space="preserve">um of the 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C</w:t>
      </w:r>
      <w:r>
        <w:rPr>
          <w:rFonts w:hint="default" w:ascii="Times New Roman" w:hAnsi="Times New Roman" w:eastAsia="宋体" w:cs="Times New Roman"/>
          <w:sz w:val="18"/>
          <w:szCs w:val="18"/>
          <w:lang w:val="en-US"/>
        </w:rPr>
        <w:t xml:space="preserve">redits of 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E</w:t>
      </w:r>
      <w:r>
        <w:rPr>
          <w:rFonts w:hint="default" w:ascii="Times New Roman" w:hAnsi="Times New Roman" w:eastAsia="宋体" w:cs="Times New Roman"/>
          <w:sz w:val="18"/>
          <w:szCs w:val="18"/>
          <w:lang w:val="en-US"/>
        </w:rPr>
        <w:t xml:space="preserve">ach 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C</w:t>
      </w:r>
      <w:r>
        <w:rPr>
          <w:rFonts w:hint="default" w:ascii="Times New Roman" w:hAnsi="Times New Roman" w:eastAsia="宋体" w:cs="Times New Roman"/>
          <w:sz w:val="18"/>
          <w:szCs w:val="18"/>
          <w:lang w:val="en-US"/>
        </w:rPr>
        <w:t xml:space="preserve">ourse in a 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C</w:t>
      </w:r>
      <w:r>
        <w:rPr>
          <w:rFonts w:hint="default" w:ascii="Times New Roman" w:hAnsi="Times New Roman" w:eastAsia="宋体" w:cs="Times New Roman"/>
          <w:sz w:val="18"/>
          <w:szCs w:val="18"/>
          <w:lang w:val="en-US"/>
        </w:rPr>
        <w:t xml:space="preserve">ertain 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P</w:t>
      </w:r>
      <w:r>
        <w:rPr>
          <w:rFonts w:hint="default" w:ascii="Times New Roman" w:hAnsi="Times New Roman" w:eastAsia="宋体" w:cs="Times New Roman"/>
          <w:sz w:val="18"/>
          <w:szCs w:val="18"/>
          <w:lang w:val="en-US"/>
        </w:rPr>
        <w:t>eriod.</w:t>
      </w:r>
    </w:p>
    <w:sectPr>
      <w:pgSz w:w="16838" w:h="11906" w:orient="landscape"/>
      <w:pgMar w:top="850" w:right="873" w:bottom="850" w:left="873" w:header="851" w:footer="992" w:gutter="0"/>
      <w:cols w:space="427" w:num="2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334DAB"/>
    <w:multiLevelType w:val="singleLevel"/>
    <w:tmpl w:val="F8334DA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1NjZjODA1NzlkYjkzY2MwZmRiODA0NGU5NDhkN2MifQ=="/>
  </w:docVars>
  <w:rsids>
    <w:rsidRoot w:val="00000000"/>
    <w:rsid w:val="01537AB9"/>
    <w:rsid w:val="02F619C8"/>
    <w:rsid w:val="05EC5EFD"/>
    <w:rsid w:val="06504610"/>
    <w:rsid w:val="10D06F6B"/>
    <w:rsid w:val="12AD44EF"/>
    <w:rsid w:val="13C651C8"/>
    <w:rsid w:val="18AD36FE"/>
    <w:rsid w:val="1AB73337"/>
    <w:rsid w:val="1C7F7553"/>
    <w:rsid w:val="1DE53A84"/>
    <w:rsid w:val="261F017C"/>
    <w:rsid w:val="27DE3B33"/>
    <w:rsid w:val="28F04073"/>
    <w:rsid w:val="29FF0765"/>
    <w:rsid w:val="2AB84D10"/>
    <w:rsid w:val="2AD2172B"/>
    <w:rsid w:val="37B5424B"/>
    <w:rsid w:val="41BB48CF"/>
    <w:rsid w:val="433F4A63"/>
    <w:rsid w:val="43A90043"/>
    <w:rsid w:val="44C4312B"/>
    <w:rsid w:val="455C483A"/>
    <w:rsid w:val="46670037"/>
    <w:rsid w:val="4D492255"/>
    <w:rsid w:val="540E5FAE"/>
    <w:rsid w:val="59C77216"/>
    <w:rsid w:val="5D1A2BAE"/>
    <w:rsid w:val="623C1D5A"/>
    <w:rsid w:val="65993A36"/>
    <w:rsid w:val="69C57AA1"/>
    <w:rsid w:val="6C2B28EB"/>
    <w:rsid w:val="6D5014A0"/>
    <w:rsid w:val="720D27B0"/>
    <w:rsid w:val="747345FC"/>
    <w:rsid w:val="7760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321</Words>
  <Characters>388</Characters>
  <Lines>0</Lines>
  <Paragraphs>0</Paragraphs>
  <TotalTime>14</TotalTime>
  <ScaleCrop>false</ScaleCrop>
  <LinksUpToDate>false</LinksUpToDate>
  <CharactersWithSpaces>391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2022-08-30T03:31:00Z</dcterms:created>
  <dc:creator>Administrator</dc:creator>
  <cp:lastModifiedBy>Administrator</cp:lastModifiedBy>
  <cp:lastPrinted>2022-12-06T08:44:00Z</cp:lastPrinted>
  <dcterms:modified xsi:type="dcterms:W3CDTF">2023-03-14T02:27:40Z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418CF62C39E84A819C92851CF71F93B6</vt:lpwstr>
  </property>
</Properties>
</file>