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福建省高等学校</w:t>
      </w:r>
      <w:r>
        <w:rPr>
          <w:rFonts w:hint="eastAsia" w:ascii="方正小标宋简体" w:hAnsi="仿宋" w:eastAsia="方正小标宋简体"/>
          <w:sz w:val="36"/>
          <w:szCs w:val="36"/>
        </w:rPr>
        <w:t>虚拟仿真实验教学项目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简介视频技术要求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一、内容要求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视频内容应重点介绍实验教学项目的基本情况，包括实验名称、实验目的、实验环境、实验内容、实验要求、实验方法、实验步骤、实验注意事项等，实现对所申报实验项目的真实反映，激发使用者的参与愿望。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二、视频要求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视频时长控制在5分钟以内。画面清晰、图像稳定，声音与画面同步且无杂音。如有解说应采用标准普通话配音。分辨率：1920*1080 25P或以上；编码为：H.264，H.264/AVC High Profile Level 4.2或以上；封装格式为：MP4；码流为：不小于5Mbps。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三、音频和字幕要求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音频格式为：混合立体声；编码为：AAC、MP3；码流为：不低于128kbps，采样率48000Hz。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可提供SRT字幕文件，也可将字幕直接压制在介质上。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928" w:right="1474" w:bottom="1701" w:left="1587" w:header="964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BA06E7"/>
    <w:rsid w:val="2F45477F"/>
    <w:rsid w:val="3A4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yf</cp:lastModifiedBy>
  <dcterms:modified xsi:type="dcterms:W3CDTF">2019-03-25T08:56:48Z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