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3" w:firstLineChars="200"/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jc w:val="center"/>
        <w:rPr>
          <w:rFonts w:hint="eastAsia" w:ascii="仿宋_GB2312" w:hAnsi="宋体" w:eastAsia="仿宋_GB2312"/>
          <w:b/>
          <w:color w:val="FF0000"/>
          <w:sz w:val="32"/>
          <w:szCs w:val="32"/>
        </w:rPr>
      </w:pPr>
    </w:p>
    <w:p>
      <w:pPr>
        <w:spacing w:line="600" w:lineRule="exact"/>
        <w:ind w:firstLine="643" w:firstLineChars="200"/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jc w:val="center"/>
        <w:rPr>
          <w:rFonts w:hint="eastAsia" w:ascii="Bookman Old Style" w:hAnsi="Bookman Old Style"/>
          <w:b/>
          <w:color w:val="FF0000"/>
          <w:spacing w:val="-22"/>
          <w:w w:val="90"/>
          <w:sz w:val="90"/>
          <w:szCs w:val="90"/>
        </w:rPr>
      </w:pPr>
      <w:r>
        <w:rPr>
          <w:rFonts w:hint="eastAsia" w:ascii="宋体" w:hAnsi="宋体"/>
          <w:b/>
          <w:snapToGrid w:val="0"/>
          <w:color w:val="FF0000"/>
          <w:spacing w:val="-22"/>
          <w:sz w:val="90"/>
          <w:szCs w:val="90"/>
        </w:rPr>
        <w:t>三明学院教务处文件</w:t>
      </w:r>
    </w:p>
    <w:p>
      <w:pPr>
        <w:spacing w:line="60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明学院教字〔20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2〕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32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spacing w:line="460" w:lineRule="exact"/>
        <w:ind w:firstLine="643" w:firstLineChars="200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190500</wp:posOffset>
                </wp:positionV>
                <wp:extent cx="5629275" cy="0"/>
                <wp:effectExtent l="0" t="19050" r="9525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45pt;margin-top:15pt;height:0pt;width:443.25pt;z-index:251661312;mso-width-relative:page;mso-height-relative:page;" filled="f" stroked="t" coordsize="21600,21600" o:gfxdata="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ACHZM2gAAAAkBAAAPAAAAAAAAAAEAIAAAACIAAABkcnMvZG93bnJldi54&#10;bWxQSwECFAAUAAAACACHTuJA4UofFPgBAADlAwAADgAAAAAAAAABACAAAAApAQAAZHJzL2Uyb0Rv&#10;Yy54bWxQSwUGAAAAAAYABgBZAQAAkwUAAAAA&#10;">
                <v:path arrowok="t"/>
                <v:fill on="f" focussize="0,0"/>
                <v:stroke weight="3pt" color="#FF0000"/>
                <v:imagedata o:title=""/>
                <o:lock v:ext="edit"/>
              </v:line>
            </w:pict>
          </mc:Fallback>
        </mc:AlternateContent>
      </w:r>
    </w:p>
    <w:p>
      <w:pPr>
        <w:ind w:firstLine="643" w:firstLineChars="200"/>
        <w:rPr>
          <w:rFonts w:hint="eastAsia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Calibri" w:eastAsia="方正小标宋简体"/>
          <w:bCs/>
          <w:sz w:val="44"/>
          <w:szCs w:val="44"/>
        </w:rPr>
      </w:pPr>
      <w:r>
        <w:rPr>
          <w:rFonts w:hint="eastAsia" w:ascii="方正小标宋简体" w:hAnsi="Calibri" w:eastAsia="方正小标宋简体"/>
          <w:bCs/>
          <w:sz w:val="44"/>
          <w:szCs w:val="44"/>
          <w:lang w:val="en-US" w:eastAsia="zh-CN"/>
        </w:rPr>
        <w:t>三明学院</w:t>
      </w:r>
      <w:r>
        <w:rPr>
          <w:rFonts w:hint="eastAsia" w:ascii="方正小标宋简体" w:hAnsi="Calibri" w:eastAsia="方正小标宋简体"/>
          <w:bCs/>
          <w:sz w:val="44"/>
          <w:szCs w:val="44"/>
        </w:rPr>
        <w:t>关于公布</w:t>
      </w:r>
      <w:r>
        <w:rPr>
          <w:rFonts w:hint="eastAsia" w:ascii="方正小标宋简体" w:hAnsi="Calibri" w:eastAsia="方正小标宋简体"/>
          <w:bCs/>
          <w:sz w:val="44"/>
          <w:szCs w:val="44"/>
          <w:lang w:val="en-US" w:eastAsia="zh-CN"/>
        </w:rPr>
        <w:t>2022年度校级一流本科专业建设点名单</w:t>
      </w:r>
      <w:r>
        <w:rPr>
          <w:rFonts w:hint="eastAsia" w:ascii="方正小标宋简体" w:hAnsi="Calibri" w:eastAsia="方正小标宋简体"/>
          <w:bCs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ind w:firstLine="48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eastAsia="zh-CN"/>
        </w:rPr>
        <w:t>根据《教育部办公厅关于实施一流本科专业建设“双万计划”的通知》（教高厅函〔2019〕18号），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学校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eastAsia="zh-CN"/>
        </w:rPr>
        <w:t>组织开展了202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eastAsia="zh-CN"/>
        </w:rPr>
        <w:t>年度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校级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eastAsia="zh-CN"/>
        </w:rPr>
        <w:t>一流本科专业建设点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申报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eastAsia="zh-CN"/>
        </w:rPr>
        <w:t>工作。经各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二级学院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eastAsia="zh-CN"/>
        </w:rPr>
        <w:t>申报、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专家评审、校教学工作指导委员会审议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eastAsia="zh-CN"/>
        </w:rPr>
        <w:t>，认定了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eastAsia="zh-CN"/>
        </w:rPr>
        <w:t>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校级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eastAsia="zh-CN"/>
        </w:rPr>
        <w:t>一流本科专业建设点。现将名单予以公布（见附件）。请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各学院进一步发挥各建设点在专业综合改革、师资建设、教学条件、质量保障等方面的示范领跑作用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eastAsia="zh-CN"/>
        </w:rPr>
        <w:t>，持续加强专业建设，不断提高人才培养质量，培养一流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应用型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eastAsia="zh-CN"/>
        </w:rPr>
        <w:t>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附件：2022年度校级一流本科专业建设点名单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640" w:firstLine="640" w:firstLineChars="200"/>
        <w:jc w:val="righ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640" w:firstLine="640" w:firstLineChars="200"/>
        <w:jc w:val="righ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64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三明学院教务处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2022年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" w:hAnsi="仿宋" w:eastAsia="仿宋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326390</wp:posOffset>
                </wp:positionV>
                <wp:extent cx="57213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25pt;margin-top:25.7pt;height:0pt;width:450.5pt;z-index:251660288;mso-width-relative:page;mso-height-relative:page;" filled="f" stroked="t" coordsize="21600,21600" o:gfxdata="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jOZoNgAAAAJAQAADwAAAAAAAAABACAAAAAiAAAAZHJzL2Rvd25yZXYueG1sUEsB&#10;AhQAFAAAAAgAh07iQEedKD/1AQAA5QMAAA4AAAAAAAAAAQAgAAAAJwEAAGRycy9lMm9Eb2MueG1s&#10;UEsFBgAAAAAGAAYAWQEAAI4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4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cols w:space="720" w:num="1"/>
          <w:titlePg/>
          <w:docGrid w:linePitch="312" w:charSpace="0"/>
        </w:sectPr>
      </w:pPr>
      <w:r>
        <w:rPr>
          <w:rFonts w:ascii="仿宋" w:hAnsi="仿宋" w:eastAsia="仿宋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366395</wp:posOffset>
                </wp:positionV>
                <wp:extent cx="57213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28.85pt;height:0pt;width:450.5pt;z-index:251659264;mso-width-relative:page;mso-height-relative:page;" filled="f" stroked="t" coordsize="21600,21600" o:gfxdata="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M2/K91wAAAAkBAAAPAAAAAAAAAAEAIAAAACIAAABkcnMvZG93bnJldi54bWxQSwEC&#10;FAAUAAAACACHTuJAUACWmvUBAADlAwAADgAAAAAAAAABACAAAAAmAQAAZHJzL2Uyb0RvYy54bWxQ&#10;SwUGAAAAAAYABgBZAQAAj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kern w:val="0"/>
          <w:sz w:val="28"/>
          <w:szCs w:val="28"/>
        </w:rPr>
        <w:t xml:space="preserve">三明学院教务处      </w:t>
      </w:r>
      <w:r>
        <w:rPr>
          <w:rFonts w:ascii="仿宋" w:hAnsi="仿宋" w:eastAsia="仿宋"/>
          <w:kern w:val="0"/>
          <w:sz w:val="28"/>
          <w:szCs w:val="28"/>
        </w:rPr>
        <w:t xml:space="preserve">                   </w:t>
      </w:r>
      <w:r>
        <w:rPr>
          <w:rFonts w:hint="eastAsia" w:ascii="仿宋" w:hAnsi="仿宋" w:eastAsia="仿宋"/>
          <w:kern w:val="0"/>
          <w:sz w:val="28"/>
          <w:szCs w:val="28"/>
        </w:rPr>
        <w:t>202</w:t>
      </w:r>
      <w:r>
        <w:rPr>
          <w:rFonts w:ascii="仿宋" w:hAnsi="仿宋" w:eastAsia="仿宋"/>
          <w:kern w:val="0"/>
          <w:sz w:val="28"/>
          <w:szCs w:val="28"/>
        </w:rPr>
        <w:t>2</w:t>
      </w:r>
      <w:r>
        <w:rPr>
          <w:rFonts w:hint="eastAsia" w:ascii="仿宋" w:hAnsi="仿宋" w:eastAsia="仿宋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kern w:val="0"/>
          <w:sz w:val="28"/>
          <w:szCs w:val="28"/>
        </w:rPr>
        <w:t>月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kern w:val="0"/>
          <w:sz w:val="28"/>
          <w:szCs w:val="28"/>
        </w:rPr>
        <w:t>日印发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2022年度校级一流本科专业建设点名单</w:t>
      </w:r>
    </w:p>
    <w:tbl>
      <w:tblPr>
        <w:tblStyle w:val="4"/>
        <w:tblW w:w="849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950"/>
        <w:gridCol w:w="2486"/>
        <w:gridCol w:w="1501"/>
        <w:gridCol w:w="1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120204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120202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艺术与设计学院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130505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信玉峰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080901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林观俊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资源与化工学院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080403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林福星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120105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崔秀琴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050101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林阳华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（外国语学院）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050262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黄菊芬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体育与康养学院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040201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秦德平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040203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教育与音乐学院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040107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艾述华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MjQyMTJmNjZjZTAxZTY4YTZlZGMxYjZkYjQyZDYifQ=="/>
  </w:docVars>
  <w:rsids>
    <w:rsidRoot w:val="00172A27"/>
    <w:rsid w:val="07245145"/>
    <w:rsid w:val="101728F4"/>
    <w:rsid w:val="14987D38"/>
    <w:rsid w:val="1A320989"/>
    <w:rsid w:val="22B660C8"/>
    <w:rsid w:val="29135DB7"/>
    <w:rsid w:val="2A351FC9"/>
    <w:rsid w:val="2A5D21E7"/>
    <w:rsid w:val="32417703"/>
    <w:rsid w:val="3AF23254"/>
    <w:rsid w:val="5E9842F9"/>
    <w:rsid w:val="62587A57"/>
    <w:rsid w:val="62735336"/>
    <w:rsid w:val="62864468"/>
    <w:rsid w:val="727D7636"/>
    <w:rsid w:val="74804FD7"/>
    <w:rsid w:val="749B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2023-01-04T08:36:00Z</dcterms:created>
  <dc:creator>huawei</dc:creator>
  <cp:lastModifiedBy>丽</cp:lastModifiedBy>
  <dcterms:modified xsi:type="dcterms:W3CDTF">2023-01-14T03:22:23Z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966AEFE8317E48C7A91B43E1A6C08763</vt:lpwstr>
  </property>
</Properties>
</file>