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eastAsia="宋体"/>
          <w:b/>
          <w:sz w:val="44"/>
          <w:szCs w:val="44"/>
          <w:lang w:eastAsia="zh-CN"/>
        </w:rPr>
      </w:pPr>
      <w:r>
        <w:rPr>
          <w:rFonts w:hint="eastAsia" w:ascii="宋体"/>
          <w:b/>
          <w:sz w:val="44"/>
          <w:szCs w:val="44"/>
          <w:lang w:eastAsia="zh-CN"/>
        </w:rPr>
        <w:t>“</w:t>
      </w:r>
      <w:r>
        <w:rPr>
          <w:rFonts w:hint="default" w:ascii="宋体"/>
          <w:b/>
          <w:sz w:val="44"/>
          <w:szCs w:val="44"/>
          <w:lang w:val="en-US" w:eastAsia="zh-CN"/>
        </w:rPr>
        <w:t>金属尾矿绿色高效智能化综合利用关键技术及装备</w:t>
      </w:r>
      <w:r>
        <w:rPr>
          <w:rFonts w:hint="eastAsia" w:ascii="宋体"/>
          <w:b/>
          <w:sz w:val="44"/>
          <w:szCs w:val="44"/>
          <w:lang w:eastAsia="zh-CN"/>
        </w:rPr>
        <w:t>”</w:t>
      </w:r>
      <w:r>
        <w:rPr>
          <w:rFonts w:hint="eastAsia" w:ascii="宋体"/>
          <w:b/>
          <w:sz w:val="44"/>
          <w:szCs w:val="44"/>
          <w:lang w:val="en-US" w:eastAsia="zh-CN"/>
        </w:rPr>
        <w:t>项目</w:t>
      </w:r>
      <w:r>
        <w:rPr>
          <w:rFonts w:ascii="宋体"/>
          <w:b/>
          <w:sz w:val="44"/>
          <w:szCs w:val="44"/>
        </w:rPr>
        <w:t>公示</w:t>
      </w:r>
      <w:r>
        <w:rPr>
          <w:rFonts w:hint="eastAsia" w:ascii="宋体"/>
          <w:b/>
          <w:sz w:val="44"/>
          <w:szCs w:val="44"/>
          <w:lang w:val="en-US" w:eastAsia="zh-CN"/>
        </w:rPr>
        <w:t>材料</w:t>
      </w:r>
    </w:p>
    <w:p>
      <w:pPr>
        <w:spacing w:line="500" w:lineRule="exact"/>
        <w:jc w:val="left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86"/>
          <w:kern w:val="0"/>
          <w:sz w:val="32"/>
          <w:szCs w:val="32"/>
          <w:fitText w:val="6080" w:id="1867868208"/>
          <w:lang w:val="en-US" w:eastAsia="zh-CN"/>
        </w:rPr>
        <w:t>金属尾矿绿色高效智能化综合利用关键技术及装</w:t>
      </w:r>
      <w:r>
        <w:rPr>
          <w:rFonts w:hint="default" w:ascii="Times New Roman" w:hAnsi="Times New Roman" w:eastAsia="仿宋_GB2312" w:cs="Times New Roman"/>
          <w:b/>
          <w:bCs/>
          <w:spacing w:val="1"/>
          <w:w w:val="86"/>
          <w:kern w:val="0"/>
          <w:sz w:val="32"/>
          <w:szCs w:val="32"/>
          <w:fitText w:val="6080" w:id="1867868208"/>
          <w:lang w:val="en-US" w:eastAsia="zh-CN"/>
        </w:rPr>
        <w:t>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提名奖种：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2021年度福建省科学技术进步奖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提名单位：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厦门市科学技术局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项目简介：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“金属尾矿绿色高效智能化综合利用关键技术及装备”项目针对金属尾矿微粉活性低、成分差异大、资源化应用低的难题，系统研究了铁尾矿和铅锌尾矿微粉活化机理，研发了智能活化生产系统和新型胶凝材料及其建材产品，并工业化应用。主要创新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研究了机械力作用提升铁尾矿和铅锌尾矿微粉活性机理，开发出尾矿活性激发剂和核心装备及系统集成，形成了机械力-化学活化复合新技术，实现了铁尾矿和铅锌尾矿微粉活性指数大幅提升，为规模化综合利用奠定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提出铁尾矿和铅锌尾矿智能活化生产模式，研制了集活化剂喷雾和微波照射等功能的智能化装备。通过实验与生产结合，利用智能优化方法、专家系统技术，确定了最佳活化工艺参数，解决了数据少、采集时间长，处理能力小和产品含水率高等技术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3、系统研发出高效活性化尾矿微粉，成功应用于砂浆、高性能混凝土及装饰保温一体化混凝土砌块等建材产品，有效降低水泥熟料用量，实现了铁尾矿和铅锌尾矿低碳、高效建材化利用。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该项目技术获得授权专利34件（其中发明专利15件），软件著作权10件，主编完成团体标准2项和地方标准1项。该项目技术已成功应用于多家企业，经济效益、社会效益显著。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主要完成单位：厦门兑泰新材料科技有限公司（原厦门兑泰环保科技有限公司），三明学院，厦门理工学院，福建德耀建设有限公司，福建宏昌建设集团有限公司，北京科技大学，福建艺景生态建设集团有限公司，鑫中坤建设有限公司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sz w:val="32"/>
          <w:szCs w:val="32"/>
        </w:rPr>
        <w:t>主要完成人及其贡献：</w:t>
      </w:r>
    </w:p>
    <w:tbl>
      <w:tblPr>
        <w:tblStyle w:val="6"/>
        <w:tblW w:w="8567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64"/>
        <w:gridCol w:w="3209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张会芝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三明学院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项目负责人，活性尾矿微粉建材化利用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黄海鹏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厦门理工学院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活性尾矿微粉智能制造相关工作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李文娟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厦门兑泰新材料科技有限公司</w:t>
            </w:r>
            <w:r>
              <w:rPr>
                <w:rFonts w:hint="eastAsia" w:ascii="Calibri" w:hAnsi="Calibri" w:eastAsia="宋体" w:cs="Arial"/>
                <w:sz w:val="21"/>
                <w:szCs w:val="22"/>
                <w:lang w:val="en-US" w:eastAsia="zh-CN"/>
              </w:rPr>
              <w:t>（原厦门兑泰环保科技有限公司）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标准编制、技术应用和推广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倪  文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北京科技大学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金属尾矿活性化机理研究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崔秀琴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三明学院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实验测试、专利工作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刘纪峰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三明学院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专利、标准编制工作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  浩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三明学院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活性尾矿微粉关键设备研发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李生白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厦门兑泰新材料科技有限公司</w:t>
            </w:r>
            <w:r>
              <w:rPr>
                <w:rFonts w:hint="eastAsia" w:ascii="Calibri" w:hAnsi="Calibri" w:eastAsia="宋体" w:cs="Arial"/>
                <w:sz w:val="21"/>
                <w:szCs w:val="22"/>
                <w:lang w:val="en-US" w:eastAsia="zh-CN"/>
              </w:rPr>
              <w:t>（原厦门兑泰环保科技有限公司）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关键设备研发和知识产权工作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邱春龙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福建德耀建设有限公司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工程应用相关测试数据收集和反馈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高桂琴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鑫中坤建设有限公司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工程应用效果评价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林生利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厦门兑泰新材料科技有限公司</w:t>
            </w:r>
            <w:r>
              <w:rPr>
                <w:rFonts w:hint="eastAsia" w:ascii="Calibri" w:hAnsi="Calibri" w:eastAsia="宋体" w:cs="Arial"/>
                <w:sz w:val="21"/>
                <w:szCs w:val="22"/>
                <w:lang w:val="en-US" w:eastAsia="zh-CN"/>
              </w:rPr>
              <w:t>（原厦门兑泰环保科技有限公司）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专利和标准编制、技术应用和推广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郑同林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厦门兑泰新材料科技有限公司</w:t>
            </w:r>
            <w:r>
              <w:rPr>
                <w:rFonts w:hint="eastAsia" w:ascii="Calibri" w:hAnsi="Calibri" w:eastAsia="宋体" w:cs="Arial"/>
                <w:sz w:val="21"/>
                <w:szCs w:val="22"/>
                <w:lang w:val="en-US" w:eastAsia="zh-CN"/>
              </w:rPr>
              <w:t>（原厦门兑泰环保科技有限公司）</w:t>
            </w:r>
            <w:bookmarkStart w:id="0" w:name="_GoBack"/>
            <w:bookmarkEnd w:id="0"/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专利编制、技术应用和推广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汤恩宏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福建宏昌建设集团有限公司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工程应用和技术推广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刘永强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福建艺景生态建设集团有限公司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工程应用和技术推广</w:t>
            </w: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代表性论文专著目录：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[1] </w:t>
      </w:r>
      <w:r>
        <w:rPr>
          <w:rFonts w:hint="default" w:ascii="Times New Roman" w:hAnsi="Times New Roman" w:eastAsia="宋体" w:cs="Times New Roman"/>
          <w:sz w:val="21"/>
          <w:szCs w:val="21"/>
        </w:rPr>
        <w:t>HZ,Zhang, JF,Liu, Y Yang, XQ,Cui, YZ,Lian. Load Capacity and Displacement of Recycled Concrete and Self-Insulation Block Masonry Wall[J].Materials, SCI 检索,2020. 13, 863; doi:10.3390/ma13040863.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[2] </w:t>
      </w:r>
      <w:r>
        <w:rPr>
          <w:rFonts w:hint="default" w:ascii="Times New Roman" w:hAnsi="Times New Roman" w:eastAsia="宋体" w:cs="Times New Roman"/>
          <w:sz w:val="21"/>
          <w:szCs w:val="21"/>
        </w:rPr>
        <w:t>张会芝,刘纪峰,连跃宗,崔秀琴.自保温再生混凝土砌块砌体抗剪性能数值模拟[J].信阳师范学院学报(自然科学版),2020,33(01):156-161.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[3] </w:t>
      </w:r>
      <w:r>
        <w:rPr>
          <w:rFonts w:hint="default" w:ascii="Times New Roman" w:hAnsi="Times New Roman" w:eastAsia="宋体" w:cs="Times New Roman"/>
          <w:sz w:val="21"/>
          <w:szCs w:val="21"/>
        </w:rPr>
        <w:t>张会芝,郑建岚.自保温再生混凝土砌块墙体节能效果研究[J].建筑材料学报,2016,19(2):304-309. EI检索.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] </w:t>
      </w:r>
      <w:r>
        <w:rPr>
          <w:rFonts w:hint="default" w:ascii="Times New Roman" w:hAnsi="Times New Roman" w:eastAsia="宋体" w:cs="Times New Roman"/>
          <w:sz w:val="21"/>
          <w:szCs w:val="21"/>
        </w:rPr>
        <w:t>张会芝,郑建岚.再生混凝土自保温空心砌块孔型优化[J].武汉大学学报(工学版),2015,48(6):799-804+15.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] </w:t>
      </w:r>
      <w:r>
        <w:rPr>
          <w:rFonts w:hint="default" w:ascii="Times New Roman" w:hAnsi="Times New Roman" w:eastAsia="宋体" w:cs="Times New Roman"/>
          <w:sz w:val="21"/>
          <w:szCs w:val="21"/>
        </w:rPr>
        <w:t>崔秀琴,张会芝,田尔布.尾矿微粉胶砂性能试验研究[J].三明学院学报,2016,33(04):91-95+100.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]黄海鹏,杨晓,李文娟,崔秀琴,刘纪峰,高浩,邱春龙,刘建平.金属尾矿智能化综合利用生产研究[J].安阳工学院学报,2021,20(06):33-36.DOI:10.19329/j.cnki.1673-2928.2021.06.009.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]仇夏杰,李德忠,刘风华,倪文,耿碧瑶,王佳佳.利用福建铅锌尾矿制备C30预拌混凝土的试验研究[J].混凝土,2017(09):120-124.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]陈伟,倪文,李德忠,祝丽萍,李倩.金尾矿蒸压加气混凝土水化机理和微观结构分析[J].材料科学与工艺,2015,23(01):32-37.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]李德忠,倪文,张玉燕.铁尾矿粒度分布与其活性指数的分形研究[J].材料科学与工艺,2014,22(04):67-73.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]于淼,倪文,刘佳.磨细铁尾矿粉粒度分布分形维数的研究[J].武汉理工大学学报,2013,35(02):26-31.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]吴辉,倪文,伏程红,于淼.机械粉磨对铁尾矿制备高强结构材料的影响[J].矿物学报,2010,30(S1):72-73.DOI:10.16461/j.cnki.1000-4734.2010.s1.082.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]郑永超,倪文,徐丽,李德忠,杨菁华.铁尾矿的机械力化学活化及制备高强结构材料[J].北京科技大学学报,2010,32(04):504-508.DOI:10.13374/j.issn1001-053x.2010.04.016.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[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]仇夏杰,倪文.利用福建某铅锌尾矿和矿渣粉制备高强混凝土试验[J].金属矿山,2015(01):176-180.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主要知识产权证明目录：</w:t>
      </w:r>
    </w:p>
    <w:tbl>
      <w:tblPr>
        <w:tblStyle w:val="6"/>
        <w:tblW w:w="498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487"/>
        <w:gridCol w:w="1351"/>
        <w:gridCol w:w="1666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发明专利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专利类别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申请号/专利号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一种利用净水剂废渣制造速凝剂的生产工艺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ZL201910314545.2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刘纪峰、张会芝、连跃宗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一种环保型活性尾矿微粉复合浆液及其应用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201410725828.3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刘纪峰、张会芝、李生钉、林生利、崔秀琴、田尔布、连跃宗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一种数控加工原轨迹回退和继续加工的控制方法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ZL 201610019660.3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黄海鹏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一种含粉煤灰的尾矿废石高强混凝土的制备方法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ZL 201210238942.4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倪文、陈杏婕、刘佳、吴辉、汤畅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装饰一体化自保温再生混凝土砌块及其制造方法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201310314605.3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一种利用钢渣固化CO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vertAlign w:val="superscript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制造砌块的生产工艺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ZL 201910313760.0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张会芝、刘纪峰、连跃宗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一种聚羧酸-醇胺型高分子助磨剂及其制备方法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201010281741.3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李生钉、林生利、彭其雨等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利用选矿业尾矿渣制造建筑板材的制备方法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201110027191.7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李生钉、李生白、张建丰等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一种金属尾矿制作大掺量水泥活性混合材的方法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201210055898.3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彭其雨、李生钉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一种烘干、研磨、选粉一体化生产设备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201510034318.6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李生白、李生钉、陈亨铺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一种粉体材料的活化系统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201510034492.0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李生白、李生钉、林生利等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生产尾矿微粉、干混砂浆和填充胶结料的设备及工艺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201510034557.1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李生白、李生钉、陈亨铺等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尾矿微粉的生产设备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201510034588.7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李生白、李生钉、李生许等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一种尾矿微粉的生产设备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201610332269.9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李生白、李生钉、陈亨铺等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一种尾矿微粉的生产工艺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201610332270.1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李生白、李生钉、陈亨铺等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实用新型专利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专利类别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申请号/专利号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一种金属尾矿粉磨供料装置的集料斗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201420078928.7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李生钉、彭其雨、李生白等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一种金属尾矿粉磨的供料装置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201420078977.0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李生钉、彭其雨、李生白等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一种金属尾矿粉磨的带有散料辊的供料装置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201420079004.9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李生钉、彭其雨、李生白等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一种金属尾矿粉磨机的料斗落料及刮料装置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201420079048.1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李生钉、彭其雨、李生白等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一种金属尾矿粉磨机的磨辊散料装置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201420079099.4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李生钉、彭其雨、李生白等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一种金属尾矿粉磨机的料斗装置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201420079131.9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李生钉、彭其雨、李生白等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一种新型振动式节能磨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201520047463.3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李生白、李生钉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挂式双频节能磨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201520047592.2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李生白、李生钉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一种提高生产效率的节能磨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201520047765.0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李生白、李生钉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一种烘干、研磨、选粉一体化生产设备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201520047892.0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李生白、李生钉、陈亨铺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节能环保型多排孔自保温全再生混凝土砌块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201520143257.2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一种砌块孔型优化的模拟实验装置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201520952919.0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一种应用于相对振动节能磨得研磨件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201720872459.X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李肇炯、黄爱民、李生白、李文娟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一种制备尾矿功能性材料的生产线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201820802443.6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李生钉、彭其雨、魏四成等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一种尾矿处理用颚式破碎机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202020747956.9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一种用于振实台的配重块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20202333891.2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李文娟、李肇炯、李生白、林生利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一种用于振实台的隔声罩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202023339573.7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李文娟、李肇炯、李生白、林生利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一种降噪可靠的振实台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202023339599.1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李文娟、李肇炯、李生白、林生利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一种清洁高效处理尾矿的立式辊磨机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 202120803198.2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李文娟、李生白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软件著作权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软著名称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软著编号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所有权人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金属尾矿综合利用设备运维系统  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2021SR1513992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（新更名为厦门兑泰新材料科技有限公司）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金属尾矿微粉综合利用MES系统 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2021SR1436533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尾矿微粉“烘干-研磨-选粉”智能控制系统  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2021SR1437943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尾矿微粉活化智能控制系统 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2021SR1438108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尾矿微粉生产活化工艺专家系统  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2021SR1585497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尾矿研磨装备故障诊断系统V1.0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2021SRE035860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福建艺境生态建设集团有限公司；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；三明学院；北京科技大学；鑫中坤建设工程有限公司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尾矿研磨装备故障预测系统V1.0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2021SRE035758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福建宏昌建设集团有限公司；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；三明学院；厦门理工学院；福建德耀建设有限公司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工业数据中台元数据管理系统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2021SR1469059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面向工业生产的通用基础型MES系统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2021SR1469050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面向过程化生产的智能排产系统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2021SR1473156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用于制造业企业的大数据清洗系统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2021SR1469061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金属尾矿微粉生产状态信息采集系统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2021SR1438107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编制标准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完成单位和完成人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用于水泥和混凝土中的铅锌、铁尾矿微粉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团体标准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40" w:afterAutospacing="0" w:line="220" w:lineRule="atLeast"/>
              <w:ind w:left="0" w:right="0" w:firstLine="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"https://www.baidu.com/link?url=8INtZE2PISThtGwron1enqOt6moPFP-fni4oAQ8DEAZND3038n_0lPqlNVlD5QVjcHfNIeelq0R9CgNx7RwCGa&amp;wd=&amp;eqid=f69c584c00083d760000000661c57792"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T/CECS 10103-2020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，李文娟，林生利；三明学院，刘纪峰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铅锌、铁尾矿微粉在混凝土中应用技术规程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中国工程建设标准化协会标准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40" w:afterAutospacing="0" w:line="220" w:lineRule="atLeast"/>
              <w:ind w:left="0" w:right="0" w:firstLine="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"https://www.baidu.com/link?url=rfST2FMogv_WZSGWUXO2Gsg3B6NKxOlmZ9APrVFiL1spGCh5DvNIzyI8TSj97WFNCi2lxZiP74knJ13TJcR_k_&amp;wd=&amp;eqid=fe65e95700048c930000000661c579c4"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T∕CECS 732-2020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厦门兑泰环保科技有限公司（新更名为厦门兑泰新材料科技有限公司）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，李文娟，林生利；三明学院，刘纪峰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用于水泥和混凝土中的尾矿微粉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福建省标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40" w:lineRule="atLeast"/>
              <w:ind w:left="0" w:right="0" w:firstLine="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DB35／T1467-2014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林生利</w:t>
            </w:r>
          </w:p>
        </w:tc>
      </w:tr>
    </w:tbl>
    <w:p>
      <w:pPr>
        <w:spacing w:line="50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公示时间xx年xx月xx日至xx年xx月xx日，公示结果无异议。</w:t>
      </w:r>
    </w:p>
    <w:p>
      <w:pPr>
        <w:spacing w:line="50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pacing w:line="500" w:lineRule="exact"/>
        <w:ind w:firstLine="3200" w:firstLineChars="100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57A19"/>
    <w:multiLevelType w:val="multilevel"/>
    <w:tmpl w:val="03057A1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E911D5"/>
    <w:rsid w:val="004E1436"/>
    <w:rsid w:val="00AF4687"/>
    <w:rsid w:val="00E911D5"/>
    <w:rsid w:val="0211675B"/>
    <w:rsid w:val="15C947BC"/>
    <w:rsid w:val="1C4923A9"/>
    <w:rsid w:val="277E2C7B"/>
    <w:rsid w:val="2A34305D"/>
    <w:rsid w:val="375A7BFF"/>
    <w:rsid w:val="43B3521C"/>
    <w:rsid w:val="47DA3234"/>
    <w:rsid w:val="4F453B86"/>
    <w:rsid w:val="50DF419E"/>
    <w:rsid w:val="5FB74EF5"/>
    <w:rsid w:val="600A4D82"/>
    <w:rsid w:val="629934BE"/>
    <w:rsid w:val="64D17D1B"/>
    <w:rsid w:val="67D81104"/>
    <w:rsid w:val="733319EA"/>
    <w:rsid w:val="7FA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Calibri" w:hAnsi="Calibri" w:cs="Arial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2016-07-28T02:52:00Z</dcterms:created>
  <dc:creator>Microsoft</dc:creator>
  <cp:lastModifiedBy>刘纪峰</cp:lastModifiedBy>
  <dcterms:modified xsi:type="dcterms:W3CDTF">2022-01-21T11:03:09Z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C8CF54CCF43A4DEBB790A06CE228FFDD</vt:lpwstr>
  </property>
</Properties>
</file>