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B6BB6" w14:textId="77777777" w:rsidR="001C3D32" w:rsidRDefault="00000000">
      <w:pPr>
        <w:spacing w:line="360" w:lineRule="auto"/>
        <w:jc w:val="center"/>
        <w:rPr>
          <w:rFonts w:ascii="黑体" w:eastAsia="黑体" w:hAnsi="黑体" w:cs="仿宋_GB2312"/>
          <w:b/>
          <w:bCs/>
          <w:sz w:val="28"/>
          <w:szCs w:val="24"/>
        </w:rPr>
      </w:pPr>
      <w:r>
        <w:rPr>
          <w:rFonts w:ascii="黑体" w:eastAsia="黑体" w:hAnsi="黑体" w:cs="仿宋_GB2312" w:hint="eastAsia"/>
          <w:b/>
          <w:bCs/>
          <w:sz w:val="32"/>
          <w:szCs w:val="28"/>
        </w:rPr>
        <w:t>“</w:t>
      </w:r>
      <w:bookmarkStart w:id="0" w:name="OLE_LINK4"/>
      <w:r>
        <w:rPr>
          <w:rFonts w:ascii="黑体" w:eastAsia="黑体" w:hAnsi="黑体" w:cs="仿宋_GB2312" w:hint="eastAsia"/>
          <w:b/>
          <w:bCs/>
          <w:sz w:val="32"/>
          <w:szCs w:val="28"/>
        </w:rPr>
        <w:t>氟新材料设计与应用</w:t>
      </w:r>
      <w:bookmarkEnd w:id="0"/>
      <w:r>
        <w:rPr>
          <w:rFonts w:ascii="黑体" w:eastAsia="黑体" w:hAnsi="黑体" w:cs="仿宋_GB2312" w:hint="eastAsia"/>
          <w:b/>
          <w:bCs/>
          <w:sz w:val="32"/>
          <w:szCs w:val="28"/>
        </w:rPr>
        <w:t>”微专业招生简章</w:t>
      </w:r>
    </w:p>
    <w:p w14:paraId="4C600BB2" w14:textId="77777777" w:rsidR="001C3D32" w:rsidRDefault="001C3D32">
      <w:pPr>
        <w:spacing w:line="360" w:lineRule="auto"/>
        <w:jc w:val="center"/>
        <w:rPr>
          <w:rFonts w:ascii="宋体" w:eastAsia="宋体" w:hAnsi="宋体" w:cs="仿宋_GB2312"/>
          <w:sz w:val="28"/>
          <w:szCs w:val="24"/>
        </w:rPr>
      </w:pPr>
    </w:p>
    <w:p w14:paraId="1BAD78B1" w14:textId="77777777" w:rsidR="001C3D32" w:rsidRDefault="00000000">
      <w:pPr>
        <w:spacing w:line="360" w:lineRule="auto"/>
        <w:ind w:firstLineChars="200" w:firstLine="562"/>
        <w:rPr>
          <w:rFonts w:ascii="宋体" w:eastAsia="宋体" w:hAnsi="宋体" w:cs="仿宋_GB2312"/>
          <w:b/>
          <w:bCs/>
          <w:sz w:val="28"/>
          <w:szCs w:val="24"/>
        </w:rPr>
      </w:pPr>
      <w:r>
        <w:rPr>
          <w:rFonts w:ascii="宋体" w:eastAsia="宋体" w:hAnsi="宋体" w:cs="仿宋_GB2312" w:hint="eastAsia"/>
          <w:b/>
          <w:bCs/>
          <w:sz w:val="28"/>
          <w:szCs w:val="24"/>
        </w:rPr>
        <w:t>一、“氟新材料设计与应用”微专业介绍</w:t>
      </w:r>
    </w:p>
    <w:p w14:paraId="68FBEDA6" w14:textId="6EC3417B"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“氟新材料设计与应用”微专业以新工科人才培养为导向，以服务国家</w:t>
      </w:r>
      <w:r w:rsidR="00A52ABF">
        <w:rPr>
          <w:rFonts w:ascii="宋体" w:eastAsia="宋体" w:hAnsi="宋体" w:cs="仿宋_GB2312" w:hint="eastAsia"/>
          <w:sz w:val="24"/>
        </w:rPr>
        <w:t>“</w:t>
      </w:r>
      <w:r>
        <w:rPr>
          <w:rFonts w:ascii="宋体" w:eastAsia="宋体" w:hAnsi="宋体" w:cs="仿宋_GB2312" w:hint="eastAsia"/>
          <w:sz w:val="24"/>
        </w:rPr>
        <w:t>双碳</w:t>
      </w:r>
      <w:r w:rsidR="00A52ABF">
        <w:rPr>
          <w:rFonts w:ascii="宋体" w:eastAsia="宋体" w:hAnsi="宋体" w:cs="仿宋_GB2312"/>
          <w:sz w:val="24"/>
        </w:rPr>
        <w:t>”</w:t>
      </w:r>
      <w:r>
        <w:rPr>
          <w:rFonts w:ascii="宋体" w:eastAsia="宋体" w:hAnsi="宋体" w:cs="仿宋_GB2312" w:hint="eastAsia"/>
          <w:sz w:val="24"/>
        </w:rPr>
        <w:t>战略和区域重大产业需求，促进清洁低碳、安全高效的区域现代能源产业体系构建为目标，以国内新材料技术产业的发展需求为牵引，坚持立德树人根本任务，通过化学、材料、能源等多学科多领域交叉融合与协同创新，致力于培养德智体美劳全面发展的社会主义建设者和接班人，掌握含氟新材料制备与设计、化工工艺、工程技术等基础知识和专业技能，能够从事氟新材料及其交叉领域生产管理、工程设计、技术服务与科学研究等工作的高素质应用型人才。</w:t>
      </w:r>
    </w:p>
    <w:p w14:paraId="23D8E0DC" w14:textId="77777777" w:rsidR="001C3D32" w:rsidRDefault="00000000">
      <w:pPr>
        <w:spacing w:line="360" w:lineRule="auto"/>
        <w:ind w:firstLineChars="200" w:firstLine="482"/>
        <w:rPr>
          <w:rFonts w:ascii="宋体" w:eastAsia="宋体" w:hAnsi="宋体" w:cs="仿宋_GB2312"/>
          <w:b/>
          <w:bCs/>
          <w:sz w:val="24"/>
        </w:rPr>
      </w:pPr>
      <w:r>
        <w:rPr>
          <w:rFonts w:ascii="宋体" w:eastAsia="宋体" w:hAnsi="宋体" w:cs="仿宋_GB2312"/>
          <w:b/>
          <w:bCs/>
          <w:sz w:val="24"/>
        </w:rPr>
        <w:t>1</w:t>
      </w:r>
      <w:r>
        <w:rPr>
          <w:rFonts w:ascii="宋体" w:eastAsia="宋体" w:hAnsi="宋体" w:cs="仿宋_GB2312" w:hint="eastAsia"/>
          <w:b/>
          <w:bCs/>
          <w:sz w:val="24"/>
        </w:rPr>
        <w:t>.</w:t>
      </w:r>
      <w:r>
        <w:rPr>
          <w:rFonts w:ascii="宋体" w:eastAsia="宋体" w:hAnsi="宋体" w:cs="仿宋_GB2312"/>
          <w:b/>
          <w:bCs/>
          <w:sz w:val="24"/>
        </w:rPr>
        <w:t>专业特</w:t>
      </w:r>
      <w:r>
        <w:rPr>
          <w:rFonts w:ascii="宋体" w:eastAsia="宋体" w:hAnsi="宋体" w:cs="仿宋_GB2312" w:hint="eastAsia"/>
          <w:b/>
          <w:bCs/>
          <w:sz w:val="24"/>
        </w:rPr>
        <w:t>色</w:t>
      </w:r>
    </w:p>
    <w:p w14:paraId="52370C72"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（1）该微专业将深入介绍氟元素在新材料中的应用，探索最新的科学和工程技术。学生将了解氟化学的基础知识，并探索其在新能源等领域的创新应用，使其具备领先于行业发展的知识和技能。</w:t>
      </w:r>
    </w:p>
    <w:p w14:paraId="24E557EB"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（2）</w:t>
      </w:r>
      <w:r>
        <w:rPr>
          <w:rFonts w:ascii="宋体" w:eastAsia="宋体" w:hAnsi="宋体" w:cs="仿宋_GB2312"/>
          <w:sz w:val="24"/>
        </w:rPr>
        <w:t>实践性课程设计：专业课程将着重于实践性，提供实验室实践和案例研究，让学生亲身体验含氟新材料的合成、测试和应用。这种实践性课程设计有助于学生将理论知识转化为实际技能，为未来在新材料行业中的应用打下坚实基础。</w:t>
      </w:r>
    </w:p>
    <w:p w14:paraId="0D6A986F"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（3）</w:t>
      </w:r>
      <w:r>
        <w:rPr>
          <w:rFonts w:ascii="宋体" w:eastAsia="宋体" w:hAnsi="宋体" w:cs="仿宋_GB2312"/>
          <w:sz w:val="24"/>
        </w:rPr>
        <w:t>综合性视角：</w:t>
      </w:r>
      <w:r>
        <w:rPr>
          <w:rFonts w:ascii="宋体" w:eastAsia="宋体" w:hAnsi="宋体" w:cs="仿宋_GB2312" w:hint="eastAsia"/>
          <w:sz w:val="24"/>
        </w:rPr>
        <w:t>该</w:t>
      </w:r>
      <w:r>
        <w:rPr>
          <w:rFonts w:ascii="宋体" w:eastAsia="宋体" w:hAnsi="宋体" w:cs="仿宋_GB2312"/>
          <w:sz w:val="24"/>
        </w:rPr>
        <w:t>微专业将综合考虑材料科学、化学工程和新能源领域的知识，为学生提供一个多角度、综合性的视角。通过跨学科的学习，学生将培养解决复杂问题的能力，促进不同领域之间的交流和合作。</w:t>
      </w:r>
    </w:p>
    <w:p w14:paraId="4D66876E" w14:textId="77777777" w:rsidR="001C3D32" w:rsidRDefault="00000000">
      <w:pPr>
        <w:spacing w:line="360" w:lineRule="auto"/>
        <w:ind w:firstLineChars="200" w:firstLine="482"/>
        <w:rPr>
          <w:rFonts w:ascii="宋体" w:eastAsia="宋体" w:hAnsi="宋体" w:cs="仿宋_GB2312"/>
          <w:b/>
          <w:bCs/>
          <w:sz w:val="24"/>
        </w:rPr>
      </w:pPr>
      <w:r>
        <w:rPr>
          <w:rFonts w:ascii="宋体" w:eastAsia="宋体" w:hAnsi="宋体" w:cs="仿宋_GB2312"/>
          <w:b/>
          <w:bCs/>
          <w:sz w:val="24"/>
        </w:rPr>
        <w:t>2.开设课程</w:t>
      </w:r>
    </w:p>
    <w:p w14:paraId="71666E22" w14:textId="77777777" w:rsidR="001C3D32" w:rsidRDefault="00000000">
      <w:pPr>
        <w:pStyle w:val="ac"/>
      </w:pPr>
      <w:bookmarkStart w:id="1" w:name="OLE_LINK1"/>
      <w:r>
        <w:t>本专业课程包括：</w:t>
      </w:r>
      <w:r>
        <w:rPr>
          <w:rFonts w:hint="eastAsia"/>
        </w:rPr>
        <w:t>《</w:t>
      </w:r>
      <w:r>
        <w:t>含氟材料的研究开发</w:t>
      </w:r>
      <w:bookmarkEnd w:id="1"/>
      <w:r>
        <w:rPr>
          <w:rFonts w:hint="eastAsia"/>
        </w:rPr>
        <w:t>》《</w:t>
      </w:r>
      <w:bookmarkStart w:id="2" w:name="OLE_LINK2"/>
      <w:r>
        <w:t>含氟高分子功能材料</w:t>
      </w:r>
      <w:bookmarkEnd w:id="2"/>
      <w:r>
        <w:rPr>
          <w:rFonts w:hint="eastAsia"/>
        </w:rPr>
        <w:t>》《</w:t>
      </w:r>
      <w:r>
        <w:t>现代有机氟化学</w:t>
      </w:r>
      <w:r>
        <w:rPr>
          <w:rFonts w:hint="eastAsia"/>
        </w:rPr>
        <w:t>：</w:t>
      </w:r>
      <w:r>
        <w:t>合成反应应用</w:t>
      </w:r>
      <w:r>
        <w:rPr>
          <w:rFonts w:hint="eastAsia"/>
        </w:rPr>
        <w:t>》《</w:t>
      </w:r>
      <w:bookmarkStart w:id="3" w:name="OLE_LINK3"/>
      <w:r>
        <w:t>氟化工工艺与安全</w:t>
      </w:r>
      <w:bookmarkEnd w:id="3"/>
      <w:r>
        <w:rPr>
          <w:rFonts w:hint="eastAsia"/>
        </w:rPr>
        <w:t>》《</w:t>
      </w:r>
      <w:r>
        <w:t>新能源材料与器件</w:t>
      </w:r>
      <w:r>
        <w:rPr>
          <w:rFonts w:hint="eastAsia"/>
        </w:rPr>
        <w:t>》，</w:t>
      </w:r>
      <w:r>
        <w:t>共计1</w:t>
      </w:r>
      <w:r>
        <w:rPr>
          <w:rFonts w:hint="eastAsia"/>
        </w:rPr>
        <w:t>4</w:t>
      </w:r>
      <w:r>
        <w:t>学分</w:t>
      </w:r>
      <w:r>
        <w:rPr>
          <w:rFonts w:hint="eastAsia"/>
        </w:rPr>
        <w:t>。</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96"/>
        <w:gridCol w:w="474"/>
        <w:gridCol w:w="858"/>
        <w:gridCol w:w="858"/>
        <w:gridCol w:w="804"/>
        <w:gridCol w:w="1472"/>
        <w:gridCol w:w="1134"/>
      </w:tblGrid>
      <w:tr w:rsidR="001C3D32" w14:paraId="72167A14" w14:textId="77777777">
        <w:trPr>
          <w:trHeight w:val="454"/>
          <w:jc w:val="center"/>
        </w:trPr>
        <w:tc>
          <w:tcPr>
            <w:tcW w:w="421" w:type="dxa"/>
            <w:vMerge w:val="restart"/>
            <w:vAlign w:val="center"/>
          </w:tcPr>
          <w:p w14:paraId="019C1321" w14:textId="77777777" w:rsidR="001C3D32" w:rsidRDefault="00000000">
            <w:pPr>
              <w:widowControl/>
              <w:jc w:val="center"/>
              <w:rPr>
                <w:rFonts w:ascii="仿宋_GB2312" w:eastAsia="仿宋_GB2312" w:hAnsi="仿宋_GB2312" w:cs="仿宋_GB2312"/>
                <w:b/>
                <w:spacing w:val="20"/>
                <w:szCs w:val="21"/>
              </w:rPr>
            </w:pPr>
            <w:r>
              <w:rPr>
                <w:rFonts w:ascii="仿宋_GB2312" w:eastAsia="仿宋_GB2312" w:hAnsi="仿宋_GB2312" w:cs="仿宋_GB2312" w:hint="eastAsia"/>
                <w:b/>
                <w:spacing w:val="20"/>
                <w:szCs w:val="21"/>
              </w:rPr>
              <w:t>序号</w:t>
            </w:r>
          </w:p>
        </w:tc>
        <w:tc>
          <w:tcPr>
            <w:tcW w:w="2196" w:type="dxa"/>
            <w:vMerge w:val="restart"/>
            <w:vAlign w:val="center"/>
          </w:tcPr>
          <w:p w14:paraId="5B96875E" w14:textId="77777777" w:rsidR="001C3D32" w:rsidRDefault="00000000">
            <w:pPr>
              <w:widowControl/>
              <w:jc w:val="center"/>
              <w:rPr>
                <w:rFonts w:ascii="仿宋_GB2312" w:eastAsia="仿宋_GB2312" w:hAnsi="仿宋_GB2312" w:cs="仿宋_GB2312"/>
                <w:b/>
                <w:szCs w:val="21"/>
              </w:rPr>
            </w:pPr>
            <w:r>
              <w:rPr>
                <w:rFonts w:ascii="仿宋_GB2312" w:eastAsia="仿宋_GB2312" w:hAnsi="仿宋_GB2312" w:cs="仿宋_GB2312" w:hint="eastAsia"/>
                <w:b/>
                <w:szCs w:val="21"/>
              </w:rPr>
              <w:t>课程名称</w:t>
            </w:r>
          </w:p>
        </w:tc>
        <w:tc>
          <w:tcPr>
            <w:tcW w:w="474" w:type="dxa"/>
            <w:vMerge w:val="restart"/>
            <w:vAlign w:val="center"/>
          </w:tcPr>
          <w:p w14:paraId="38D40BB3" w14:textId="77777777" w:rsidR="001C3D32" w:rsidRDefault="00000000">
            <w:pPr>
              <w:widowControl/>
              <w:jc w:val="center"/>
              <w:rPr>
                <w:rFonts w:ascii="仿宋_GB2312" w:eastAsia="仿宋_GB2312" w:hAnsi="仿宋_GB2312" w:cs="仿宋_GB2312"/>
                <w:b/>
                <w:spacing w:val="20"/>
                <w:szCs w:val="21"/>
              </w:rPr>
            </w:pPr>
            <w:r>
              <w:rPr>
                <w:rFonts w:ascii="仿宋_GB2312" w:eastAsia="仿宋_GB2312" w:hAnsi="仿宋_GB2312" w:cs="仿宋_GB2312" w:hint="eastAsia"/>
                <w:b/>
                <w:szCs w:val="21"/>
              </w:rPr>
              <w:t>学分</w:t>
            </w:r>
          </w:p>
        </w:tc>
        <w:tc>
          <w:tcPr>
            <w:tcW w:w="2520" w:type="dxa"/>
            <w:gridSpan w:val="3"/>
            <w:vAlign w:val="center"/>
          </w:tcPr>
          <w:p w14:paraId="39D19C35" w14:textId="77777777" w:rsidR="001C3D32" w:rsidRDefault="00000000">
            <w:pPr>
              <w:widowControl/>
              <w:jc w:val="center"/>
              <w:rPr>
                <w:rFonts w:ascii="仿宋_GB2312" w:eastAsia="仿宋_GB2312" w:hAnsi="仿宋_GB2312" w:cs="仿宋_GB2312"/>
                <w:b/>
                <w:spacing w:val="20"/>
                <w:szCs w:val="21"/>
              </w:rPr>
            </w:pPr>
            <w:r>
              <w:rPr>
                <w:rFonts w:ascii="仿宋_GB2312" w:eastAsia="仿宋_GB2312" w:hAnsi="仿宋_GB2312" w:cs="仿宋_GB2312" w:hint="eastAsia"/>
                <w:b/>
                <w:spacing w:val="52"/>
                <w:kern w:val="0"/>
                <w:szCs w:val="21"/>
                <w:fitText w:val="840" w:id="1054355416"/>
              </w:rPr>
              <w:t>学时</w:t>
            </w:r>
            <w:r>
              <w:rPr>
                <w:rFonts w:ascii="仿宋_GB2312" w:eastAsia="仿宋_GB2312" w:hAnsi="仿宋_GB2312" w:cs="仿宋_GB2312" w:hint="eastAsia"/>
                <w:b/>
                <w:spacing w:val="1"/>
                <w:kern w:val="0"/>
                <w:szCs w:val="21"/>
                <w:fitText w:val="840" w:id="1054355416"/>
              </w:rPr>
              <w:t>数</w:t>
            </w:r>
          </w:p>
        </w:tc>
        <w:tc>
          <w:tcPr>
            <w:tcW w:w="1472" w:type="dxa"/>
            <w:vMerge w:val="restart"/>
            <w:vAlign w:val="center"/>
          </w:tcPr>
          <w:p w14:paraId="3962705A" w14:textId="77777777" w:rsidR="001C3D32" w:rsidRDefault="00000000">
            <w:pPr>
              <w:widowControl/>
              <w:snapToGrid w:val="0"/>
              <w:jc w:val="center"/>
              <w:rPr>
                <w:rFonts w:ascii="仿宋_GB2312" w:eastAsia="仿宋_GB2312" w:hAnsi="仿宋_GB2312" w:cs="仿宋_GB2312"/>
                <w:b/>
                <w:szCs w:val="21"/>
              </w:rPr>
            </w:pPr>
            <w:r>
              <w:rPr>
                <w:rFonts w:ascii="仿宋_GB2312" w:eastAsia="仿宋_GB2312" w:hAnsi="仿宋_GB2312" w:cs="仿宋_GB2312" w:hint="eastAsia"/>
                <w:b/>
                <w:szCs w:val="21"/>
              </w:rPr>
              <w:t>考核</w:t>
            </w:r>
          </w:p>
          <w:p w14:paraId="107CF108" w14:textId="77777777" w:rsidR="001C3D32" w:rsidRDefault="00000000">
            <w:pPr>
              <w:widowControl/>
              <w:jc w:val="center"/>
              <w:rPr>
                <w:rFonts w:ascii="仿宋_GB2312" w:eastAsia="仿宋_GB2312" w:hAnsi="仿宋_GB2312" w:cs="仿宋_GB2312"/>
                <w:b/>
                <w:spacing w:val="20"/>
                <w:szCs w:val="21"/>
              </w:rPr>
            </w:pPr>
            <w:r>
              <w:rPr>
                <w:rFonts w:ascii="仿宋_GB2312" w:eastAsia="仿宋_GB2312" w:hAnsi="仿宋_GB2312" w:cs="仿宋_GB2312" w:hint="eastAsia"/>
                <w:b/>
                <w:szCs w:val="21"/>
              </w:rPr>
              <w:t>方式</w:t>
            </w:r>
          </w:p>
        </w:tc>
        <w:tc>
          <w:tcPr>
            <w:tcW w:w="1134" w:type="dxa"/>
            <w:vMerge w:val="restart"/>
            <w:vAlign w:val="center"/>
          </w:tcPr>
          <w:p w14:paraId="24378C8F" w14:textId="77777777" w:rsidR="001C3D32" w:rsidRDefault="00000000">
            <w:pPr>
              <w:widowControl/>
              <w:snapToGrid w:val="0"/>
              <w:jc w:val="center"/>
              <w:rPr>
                <w:rFonts w:ascii="仿宋_GB2312" w:eastAsia="仿宋_GB2312" w:hAnsi="仿宋_GB2312" w:cs="仿宋_GB2312"/>
                <w:b/>
                <w:szCs w:val="21"/>
              </w:rPr>
            </w:pPr>
            <w:r>
              <w:rPr>
                <w:rFonts w:ascii="仿宋_GB2312" w:eastAsia="仿宋_GB2312" w:hAnsi="仿宋_GB2312" w:cs="仿宋_GB2312" w:hint="eastAsia"/>
                <w:b/>
                <w:szCs w:val="21"/>
              </w:rPr>
              <w:t>开课</w:t>
            </w:r>
          </w:p>
          <w:p w14:paraId="02181CD3" w14:textId="77777777" w:rsidR="001C3D32" w:rsidRDefault="00000000">
            <w:pPr>
              <w:widowControl/>
              <w:jc w:val="center"/>
              <w:rPr>
                <w:rFonts w:ascii="仿宋_GB2312" w:eastAsia="仿宋_GB2312" w:hAnsi="仿宋_GB2312" w:cs="仿宋_GB2312"/>
                <w:b/>
                <w:spacing w:val="20"/>
                <w:szCs w:val="21"/>
              </w:rPr>
            </w:pPr>
            <w:r>
              <w:rPr>
                <w:rFonts w:ascii="仿宋_GB2312" w:eastAsia="仿宋_GB2312" w:hAnsi="仿宋_GB2312" w:cs="仿宋_GB2312" w:hint="eastAsia"/>
                <w:b/>
                <w:szCs w:val="21"/>
              </w:rPr>
              <w:t>时间</w:t>
            </w:r>
          </w:p>
        </w:tc>
      </w:tr>
      <w:tr w:rsidR="001C3D32" w14:paraId="5D0CB37F" w14:textId="77777777">
        <w:trPr>
          <w:trHeight w:val="454"/>
          <w:jc w:val="center"/>
        </w:trPr>
        <w:tc>
          <w:tcPr>
            <w:tcW w:w="421" w:type="dxa"/>
            <w:vMerge/>
            <w:vAlign w:val="center"/>
          </w:tcPr>
          <w:p w14:paraId="635650A5" w14:textId="77777777" w:rsidR="001C3D32" w:rsidRDefault="001C3D32">
            <w:pPr>
              <w:widowControl/>
              <w:jc w:val="center"/>
              <w:rPr>
                <w:rFonts w:ascii="仿宋_GB2312" w:eastAsia="仿宋_GB2312" w:hAnsi="仿宋_GB2312" w:cs="仿宋_GB2312"/>
                <w:b/>
                <w:spacing w:val="20"/>
                <w:szCs w:val="21"/>
              </w:rPr>
            </w:pPr>
          </w:p>
        </w:tc>
        <w:tc>
          <w:tcPr>
            <w:tcW w:w="2196" w:type="dxa"/>
            <w:vMerge/>
            <w:vAlign w:val="center"/>
          </w:tcPr>
          <w:p w14:paraId="0160B2C5" w14:textId="77777777" w:rsidR="001C3D32" w:rsidRDefault="001C3D32">
            <w:pPr>
              <w:widowControl/>
              <w:jc w:val="center"/>
              <w:rPr>
                <w:rFonts w:ascii="仿宋_GB2312" w:eastAsia="仿宋_GB2312" w:hAnsi="仿宋_GB2312" w:cs="仿宋_GB2312"/>
                <w:b/>
                <w:spacing w:val="20"/>
                <w:szCs w:val="21"/>
              </w:rPr>
            </w:pPr>
          </w:p>
        </w:tc>
        <w:tc>
          <w:tcPr>
            <w:tcW w:w="474" w:type="dxa"/>
            <w:vMerge/>
            <w:vAlign w:val="center"/>
          </w:tcPr>
          <w:p w14:paraId="75B6E776" w14:textId="77777777" w:rsidR="001C3D32" w:rsidRDefault="001C3D32">
            <w:pPr>
              <w:widowControl/>
              <w:jc w:val="center"/>
              <w:rPr>
                <w:rFonts w:ascii="仿宋_GB2312" w:eastAsia="仿宋_GB2312" w:hAnsi="仿宋_GB2312" w:cs="仿宋_GB2312"/>
                <w:b/>
                <w:spacing w:val="20"/>
                <w:szCs w:val="21"/>
              </w:rPr>
            </w:pPr>
          </w:p>
        </w:tc>
        <w:tc>
          <w:tcPr>
            <w:tcW w:w="858" w:type="dxa"/>
            <w:vAlign w:val="center"/>
          </w:tcPr>
          <w:p w14:paraId="04DA870B" w14:textId="77777777" w:rsidR="001C3D32" w:rsidRDefault="00000000">
            <w:pPr>
              <w:widowControl/>
              <w:jc w:val="center"/>
              <w:rPr>
                <w:rFonts w:ascii="仿宋_GB2312" w:eastAsia="仿宋_GB2312" w:hAnsi="仿宋_GB2312" w:cs="仿宋_GB2312"/>
                <w:b/>
                <w:spacing w:val="20"/>
                <w:szCs w:val="21"/>
              </w:rPr>
            </w:pPr>
            <w:r>
              <w:rPr>
                <w:rFonts w:ascii="仿宋_GB2312" w:eastAsia="仿宋_GB2312" w:hAnsi="仿宋_GB2312" w:cs="仿宋_GB2312" w:hint="eastAsia"/>
                <w:b/>
                <w:szCs w:val="21"/>
              </w:rPr>
              <w:t>总学时</w:t>
            </w:r>
          </w:p>
        </w:tc>
        <w:tc>
          <w:tcPr>
            <w:tcW w:w="858" w:type="dxa"/>
            <w:vAlign w:val="center"/>
          </w:tcPr>
          <w:p w14:paraId="4E7B62AC" w14:textId="77777777" w:rsidR="001C3D32" w:rsidRDefault="00000000">
            <w:pPr>
              <w:widowControl/>
              <w:jc w:val="center"/>
              <w:rPr>
                <w:rFonts w:ascii="仿宋_GB2312" w:eastAsia="仿宋_GB2312" w:hAnsi="仿宋_GB2312" w:cs="仿宋_GB2312"/>
                <w:b/>
                <w:spacing w:val="20"/>
                <w:szCs w:val="21"/>
              </w:rPr>
            </w:pPr>
            <w:r>
              <w:rPr>
                <w:rFonts w:ascii="仿宋_GB2312" w:eastAsia="仿宋_GB2312" w:hAnsi="仿宋_GB2312" w:cs="仿宋_GB2312" w:hint="eastAsia"/>
                <w:b/>
                <w:szCs w:val="21"/>
              </w:rPr>
              <w:t>理论</w:t>
            </w:r>
          </w:p>
        </w:tc>
        <w:tc>
          <w:tcPr>
            <w:tcW w:w="804" w:type="dxa"/>
            <w:vAlign w:val="center"/>
          </w:tcPr>
          <w:p w14:paraId="6E854ABB" w14:textId="77777777" w:rsidR="001C3D32" w:rsidRDefault="00000000">
            <w:pPr>
              <w:widowControl/>
              <w:jc w:val="center"/>
              <w:rPr>
                <w:rFonts w:ascii="仿宋_GB2312" w:eastAsia="仿宋_GB2312" w:hAnsi="仿宋_GB2312" w:cs="仿宋_GB2312"/>
                <w:b/>
                <w:spacing w:val="20"/>
                <w:szCs w:val="21"/>
              </w:rPr>
            </w:pPr>
            <w:r>
              <w:rPr>
                <w:rFonts w:ascii="仿宋_GB2312" w:eastAsia="仿宋_GB2312" w:hAnsi="仿宋_GB2312" w:cs="仿宋_GB2312" w:hint="eastAsia"/>
                <w:b/>
                <w:szCs w:val="21"/>
              </w:rPr>
              <w:t>实践</w:t>
            </w:r>
          </w:p>
        </w:tc>
        <w:tc>
          <w:tcPr>
            <w:tcW w:w="1472" w:type="dxa"/>
            <w:vMerge/>
            <w:vAlign w:val="center"/>
          </w:tcPr>
          <w:p w14:paraId="0A90D781" w14:textId="77777777" w:rsidR="001C3D32" w:rsidRDefault="001C3D32">
            <w:pPr>
              <w:widowControl/>
              <w:jc w:val="center"/>
              <w:rPr>
                <w:rFonts w:ascii="仿宋_GB2312" w:eastAsia="仿宋_GB2312" w:hAnsi="仿宋_GB2312" w:cs="仿宋_GB2312"/>
                <w:b/>
                <w:spacing w:val="20"/>
                <w:szCs w:val="21"/>
              </w:rPr>
            </w:pPr>
          </w:p>
        </w:tc>
        <w:tc>
          <w:tcPr>
            <w:tcW w:w="1134" w:type="dxa"/>
            <w:vMerge/>
            <w:vAlign w:val="center"/>
          </w:tcPr>
          <w:p w14:paraId="71A8352B" w14:textId="77777777" w:rsidR="001C3D32" w:rsidRDefault="001C3D32">
            <w:pPr>
              <w:widowControl/>
              <w:jc w:val="center"/>
              <w:rPr>
                <w:rFonts w:ascii="仿宋_GB2312" w:eastAsia="仿宋_GB2312" w:hAnsi="仿宋_GB2312" w:cs="仿宋_GB2312"/>
                <w:b/>
                <w:spacing w:val="20"/>
                <w:szCs w:val="21"/>
              </w:rPr>
            </w:pPr>
          </w:p>
        </w:tc>
      </w:tr>
      <w:tr w:rsidR="001C3D32" w14:paraId="241FB7F3" w14:textId="77777777">
        <w:trPr>
          <w:trHeight w:val="620"/>
          <w:jc w:val="center"/>
        </w:trPr>
        <w:tc>
          <w:tcPr>
            <w:tcW w:w="421" w:type="dxa"/>
            <w:vAlign w:val="center"/>
          </w:tcPr>
          <w:p w14:paraId="4B4EF929"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1</w:t>
            </w:r>
          </w:p>
        </w:tc>
        <w:tc>
          <w:tcPr>
            <w:tcW w:w="2196" w:type="dxa"/>
            <w:vAlign w:val="center"/>
          </w:tcPr>
          <w:p w14:paraId="2FB9748F"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含氟材料的研究开发</w:t>
            </w:r>
          </w:p>
        </w:tc>
        <w:tc>
          <w:tcPr>
            <w:tcW w:w="474" w:type="dxa"/>
            <w:vAlign w:val="center"/>
          </w:tcPr>
          <w:p w14:paraId="78B9638B"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3</w:t>
            </w:r>
          </w:p>
        </w:tc>
        <w:tc>
          <w:tcPr>
            <w:tcW w:w="858" w:type="dxa"/>
            <w:vAlign w:val="center"/>
          </w:tcPr>
          <w:p w14:paraId="7B2CC447"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48</w:t>
            </w:r>
          </w:p>
        </w:tc>
        <w:tc>
          <w:tcPr>
            <w:tcW w:w="858" w:type="dxa"/>
            <w:vAlign w:val="center"/>
          </w:tcPr>
          <w:p w14:paraId="7F72D080"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32</w:t>
            </w:r>
          </w:p>
        </w:tc>
        <w:tc>
          <w:tcPr>
            <w:tcW w:w="804" w:type="dxa"/>
            <w:vAlign w:val="center"/>
          </w:tcPr>
          <w:p w14:paraId="72B5B050"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16</w:t>
            </w:r>
          </w:p>
        </w:tc>
        <w:tc>
          <w:tcPr>
            <w:tcW w:w="1472" w:type="dxa"/>
            <w:vAlign w:val="center"/>
          </w:tcPr>
          <w:p w14:paraId="3F39E9F8"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考查</w:t>
            </w:r>
          </w:p>
        </w:tc>
        <w:tc>
          <w:tcPr>
            <w:tcW w:w="1134" w:type="dxa"/>
            <w:vAlign w:val="center"/>
          </w:tcPr>
          <w:p w14:paraId="2BD1A124"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szCs w:val="21"/>
              </w:rPr>
              <w:t>第</w:t>
            </w:r>
            <w:r>
              <w:rPr>
                <w:rFonts w:ascii="仿宋_GB2312" w:hAnsi="仿宋_GB2312" w:cs="仿宋_GB2312" w:hint="eastAsia"/>
                <w:szCs w:val="21"/>
              </w:rPr>
              <w:t>1</w:t>
            </w:r>
            <w:r>
              <w:rPr>
                <w:rFonts w:ascii="仿宋_GB2312" w:eastAsia="仿宋_GB2312" w:hAnsi="仿宋_GB2312" w:cs="仿宋_GB2312" w:hint="eastAsia"/>
                <w:szCs w:val="21"/>
              </w:rPr>
              <w:t>学期</w:t>
            </w:r>
          </w:p>
        </w:tc>
      </w:tr>
      <w:tr w:rsidR="001C3D32" w14:paraId="1654996E" w14:textId="77777777">
        <w:trPr>
          <w:trHeight w:val="578"/>
          <w:jc w:val="center"/>
        </w:trPr>
        <w:tc>
          <w:tcPr>
            <w:tcW w:w="421" w:type="dxa"/>
            <w:vAlign w:val="center"/>
          </w:tcPr>
          <w:p w14:paraId="6FE09EE5"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lastRenderedPageBreak/>
              <w:t>2</w:t>
            </w:r>
          </w:p>
        </w:tc>
        <w:tc>
          <w:tcPr>
            <w:tcW w:w="2196" w:type="dxa"/>
            <w:vAlign w:val="center"/>
          </w:tcPr>
          <w:p w14:paraId="173CAB2F"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含氟高分子功能材料</w:t>
            </w:r>
          </w:p>
        </w:tc>
        <w:tc>
          <w:tcPr>
            <w:tcW w:w="474" w:type="dxa"/>
            <w:vAlign w:val="center"/>
          </w:tcPr>
          <w:p w14:paraId="0D7FE472"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3</w:t>
            </w:r>
          </w:p>
        </w:tc>
        <w:tc>
          <w:tcPr>
            <w:tcW w:w="858" w:type="dxa"/>
            <w:vAlign w:val="center"/>
          </w:tcPr>
          <w:p w14:paraId="7E6BAFFE"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48</w:t>
            </w:r>
          </w:p>
        </w:tc>
        <w:tc>
          <w:tcPr>
            <w:tcW w:w="858" w:type="dxa"/>
            <w:vAlign w:val="center"/>
          </w:tcPr>
          <w:p w14:paraId="044BA787"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32</w:t>
            </w:r>
          </w:p>
        </w:tc>
        <w:tc>
          <w:tcPr>
            <w:tcW w:w="804" w:type="dxa"/>
            <w:vAlign w:val="center"/>
          </w:tcPr>
          <w:p w14:paraId="65668A15"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16</w:t>
            </w:r>
          </w:p>
        </w:tc>
        <w:tc>
          <w:tcPr>
            <w:tcW w:w="1472" w:type="dxa"/>
            <w:vAlign w:val="center"/>
          </w:tcPr>
          <w:p w14:paraId="29CC2FA2"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考查</w:t>
            </w:r>
          </w:p>
        </w:tc>
        <w:tc>
          <w:tcPr>
            <w:tcW w:w="1134" w:type="dxa"/>
            <w:vAlign w:val="center"/>
          </w:tcPr>
          <w:p w14:paraId="194C11D3"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szCs w:val="21"/>
              </w:rPr>
              <w:t>第</w:t>
            </w:r>
            <w:r>
              <w:rPr>
                <w:rFonts w:ascii="仿宋_GB2312" w:hAnsi="仿宋_GB2312" w:cs="仿宋_GB2312" w:hint="eastAsia"/>
                <w:szCs w:val="21"/>
              </w:rPr>
              <w:t>1</w:t>
            </w:r>
            <w:r>
              <w:rPr>
                <w:rFonts w:ascii="仿宋_GB2312" w:eastAsia="仿宋_GB2312" w:hAnsi="仿宋_GB2312" w:cs="仿宋_GB2312" w:hint="eastAsia"/>
                <w:szCs w:val="21"/>
              </w:rPr>
              <w:t>学期</w:t>
            </w:r>
          </w:p>
        </w:tc>
      </w:tr>
      <w:tr w:rsidR="001C3D32" w14:paraId="62633DF8" w14:textId="77777777">
        <w:trPr>
          <w:trHeight w:val="782"/>
          <w:jc w:val="center"/>
        </w:trPr>
        <w:tc>
          <w:tcPr>
            <w:tcW w:w="421" w:type="dxa"/>
            <w:vAlign w:val="center"/>
          </w:tcPr>
          <w:p w14:paraId="468ED944"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3</w:t>
            </w:r>
          </w:p>
        </w:tc>
        <w:tc>
          <w:tcPr>
            <w:tcW w:w="2196" w:type="dxa"/>
            <w:vAlign w:val="center"/>
          </w:tcPr>
          <w:p w14:paraId="7131EA67"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氟化工工艺与安全</w:t>
            </w:r>
          </w:p>
        </w:tc>
        <w:tc>
          <w:tcPr>
            <w:tcW w:w="474" w:type="dxa"/>
            <w:vAlign w:val="center"/>
          </w:tcPr>
          <w:p w14:paraId="22FA766B"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2</w:t>
            </w:r>
          </w:p>
        </w:tc>
        <w:tc>
          <w:tcPr>
            <w:tcW w:w="858" w:type="dxa"/>
            <w:vAlign w:val="center"/>
          </w:tcPr>
          <w:p w14:paraId="7D9DAA3A"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64</w:t>
            </w:r>
          </w:p>
        </w:tc>
        <w:tc>
          <w:tcPr>
            <w:tcW w:w="858" w:type="dxa"/>
            <w:vAlign w:val="center"/>
          </w:tcPr>
          <w:p w14:paraId="24987E97" w14:textId="77777777" w:rsidR="001C3D32" w:rsidRDefault="001C3D32">
            <w:pPr>
              <w:widowControl/>
              <w:jc w:val="center"/>
              <w:rPr>
                <w:rFonts w:ascii="仿宋_GB2312" w:hAnsi="仿宋_GB2312" w:cs="仿宋_GB2312"/>
                <w:szCs w:val="21"/>
              </w:rPr>
            </w:pPr>
          </w:p>
        </w:tc>
        <w:tc>
          <w:tcPr>
            <w:tcW w:w="804" w:type="dxa"/>
            <w:vAlign w:val="center"/>
          </w:tcPr>
          <w:p w14:paraId="093D22BA"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64</w:t>
            </w:r>
          </w:p>
        </w:tc>
        <w:tc>
          <w:tcPr>
            <w:tcW w:w="1472" w:type="dxa"/>
            <w:vAlign w:val="center"/>
          </w:tcPr>
          <w:p w14:paraId="0969F212"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考查</w:t>
            </w:r>
          </w:p>
        </w:tc>
        <w:tc>
          <w:tcPr>
            <w:tcW w:w="1134" w:type="dxa"/>
            <w:vAlign w:val="center"/>
          </w:tcPr>
          <w:p w14:paraId="40784E5E"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szCs w:val="21"/>
              </w:rPr>
              <w:t>第</w:t>
            </w:r>
            <w:r>
              <w:rPr>
                <w:rFonts w:ascii="仿宋_GB2312" w:hAnsi="仿宋_GB2312" w:cs="仿宋_GB2312" w:hint="eastAsia"/>
                <w:szCs w:val="21"/>
              </w:rPr>
              <w:t>1</w:t>
            </w:r>
            <w:r>
              <w:rPr>
                <w:rFonts w:ascii="仿宋_GB2312" w:eastAsia="仿宋_GB2312" w:hAnsi="仿宋_GB2312" w:cs="仿宋_GB2312" w:hint="eastAsia"/>
                <w:szCs w:val="21"/>
              </w:rPr>
              <w:t>学期</w:t>
            </w:r>
          </w:p>
        </w:tc>
      </w:tr>
      <w:tr w:rsidR="001C3D32" w14:paraId="3D06F603" w14:textId="77777777">
        <w:trPr>
          <w:trHeight w:val="782"/>
          <w:jc w:val="center"/>
        </w:trPr>
        <w:tc>
          <w:tcPr>
            <w:tcW w:w="421" w:type="dxa"/>
            <w:vAlign w:val="center"/>
          </w:tcPr>
          <w:p w14:paraId="144D3A6C"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4</w:t>
            </w:r>
          </w:p>
        </w:tc>
        <w:tc>
          <w:tcPr>
            <w:tcW w:w="2196" w:type="dxa"/>
            <w:vAlign w:val="center"/>
          </w:tcPr>
          <w:p w14:paraId="71C70737"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现代有机氟化学：</w:t>
            </w:r>
          </w:p>
          <w:p w14:paraId="7B6CBBD8"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szCs w:val="21"/>
              </w:rPr>
              <w:t>合成反应应用</w:t>
            </w:r>
          </w:p>
        </w:tc>
        <w:tc>
          <w:tcPr>
            <w:tcW w:w="474" w:type="dxa"/>
            <w:vAlign w:val="center"/>
          </w:tcPr>
          <w:p w14:paraId="156F38D8"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3</w:t>
            </w:r>
          </w:p>
        </w:tc>
        <w:tc>
          <w:tcPr>
            <w:tcW w:w="858" w:type="dxa"/>
            <w:vAlign w:val="center"/>
          </w:tcPr>
          <w:p w14:paraId="66E4752F"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48</w:t>
            </w:r>
          </w:p>
        </w:tc>
        <w:tc>
          <w:tcPr>
            <w:tcW w:w="858" w:type="dxa"/>
            <w:vAlign w:val="center"/>
          </w:tcPr>
          <w:p w14:paraId="6570672F"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32</w:t>
            </w:r>
          </w:p>
        </w:tc>
        <w:tc>
          <w:tcPr>
            <w:tcW w:w="804" w:type="dxa"/>
            <w:vAlign w:val="center"/>
          </w:tcPr>
          <w:p w14:paraId="2433717C"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16</w:t>
            </w:r>
          </w:p>
        </w:tc>
        <w:tc>
          <w:tcPr>
            <w:tcW w:w="1472" w:type="dxa"/>
            <w:vAlign w:val="center"/>
          </w:tcPr>
          <w:p w14:paraId="64955BBD"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考查</w:t>
            </w:r>
          </w:p>
        </w:tc>
        <w:tc>
          <w:tcPr>
            <w:tcW w:w="1134" w:type="dxa"/>
            <w:vAlign w:val="center"/>
          </w:tcPr>
          <w:p w14:paraId="50ED5C9E"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szCs w:val="21"/>
              </w:rPr>
              <w:t>第</w:t>
            </w:r>
            <w:r>
              <w:rPr>
                <w:rFonts w:ascii="仿宋_GB2312" w:eastAsia="仿宋_GB2312" w:hAnsi="仿宋_GB2312" w:cs="仿宋_GB2312" w:hint="eastAsia"/>
                <w:szCs w:val="21"/>
              </w:rPr>
              <w:t>2学期</w:t>
            </w:r>
          </w:p>
        </w:tc>
      </w:tr>
      <w:tr w:rsidR="001C3D32" w14:paraId="087EE1B4" w14:textId="77777777">
        <w:trPr>
          <w:trHeight w:val="655"/>
          <w:jc w:val="center"/>
        </w:trPr>
        <w:tc>
          <w:tcPr>
            <w:tcW w:w="421" w:type="dxa"/>
            <w:vAlign w:val="center"/>
          </w:tcPr>
          <w:p w14:paraId="4F18980C"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5</w:t>
            </w:r>
          </w:p>
        </w:tc>
        <w:tc>
          <w:tcPr>
            <w:tcW w:w="2196" w:type="dxa"/>
            <w:vAlign w:val="center"/>
          </w:tcPr>
          <w:p w14:paraId="7D8DDEB8"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新能源材料与器件</w:t>
            </w:r>
          </w:p>
        </w:tc>
        <w:tc>
          <w:tcPr>
            <w:tcW w:w="474" w:type="dxa"/>
            <w:vAlign w:val="center"/>
          </w:tcPr>
          <w:p w14:paraId="46A63B4B"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3</w:t>
            </w:r>
          </w:p>
        </w:tc>
        <w:tc>
          <w:tcPr>
            <w:tcW w:w="858" w:type="dxa"/>
            <w:vAlign w:val="center"/>
          </w:tcPr>
          <w:p w14:paraId="723D8F39"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48</w:t>
            </w:r>
          </w:p>
        </w:tc>
        <w:tc>
          <w:tcPr>
            <w:tcW w:w="858" w:type="dxa"/>
            <w:vAlign w:val="center"/>
          </w:tcPr>
          <w:p w14:paraId="3EAC7BE3"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32</w:t>
            </w:r>
          </w:p>
        </w:tc>
        <w:tc>
          <w:tcPr>
            <w:tcW w:w="804" w:type="dxa"/>
            <w:vAlign w:val="center"/>
          </w:tcPr>
          <w:p w14:paraId="7A1988CE" w14:textId="77777777" w:rsidR="001C3D32" w:rsidRDefault="00000000">
            <w:pPr>
              <w:widowControl/>
              <w:jc w:val="center"/>
              <w:rPr>
                <w:rFonts w:ascii="仿宋_GB2312" w:hAnsi="仿宋_GB2312" w:cs="仿宋_GB2312"/>
                <w:szCs w:val="21"/>
              </w:rPr>
            </w:pPr>
            <w:r>
              <w:rPr>
                <w:rFonts w:ascii="仿宋_GB2312" w:hAnsi="仿宋_GB2312" w:cs="仿宋_GB2312" w:hint="eastAsia"/>
                <w:szCs w:val="21"/>
              </w:rPr>
              <w:t>16</w:t>
            </w:r>
          </w:p>
        </w:tc>
        <w:tc>
          <w:tcPr>
            <w:tcW w:w="1472" w:type="dxa"/>
            <w:vAlign w:val="center"/>
          </w:tcPr>
          <w:p w14:paraId="40A242C5"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考查</w:t>
            </w:r>
          </w:p>
        </w:tc>
        <w:tc>
          <w:tcPr>
            <w:tcW w:w="1134" w:type="dxa"/>
            <w:vAlign w:val="center"/>
          </w:tcPr>
          <w:p w14:paraId="2BE843D4" w14:textId="77777777" w:rsidR="001C3D32" w:rsidRDefault="00000000">
            <w:pPr>
              <w:widowControl/>
              <w:jc w:val="center"/>
              <w:rPr>
                <w:rFonts w:ascii="仿宋_GB2312" w:eastAsia="仿宋_GB2312" w:hAnsi="仿宋_GB2312" w:cs="仿宋_GB2312"/>
                <w:szCs w:val="21"/>
              </w:rPr>
            </w:pPr>
            <w:r>
              <w:rPr>
                <w:rFonts w:ascii="仿宋_GB2312" w:eastAsia="仿宋_GB2312" w:hAnsi="仿宋_GB2312" w:cs="仿宋_GB2312"/>
                <w:szCs w:val="21"/>
              </w:rPr>
              <w:t>第</w:t>
            </w:r>
            <w:r>
              <w:rPr>
                <w:rFonts w:ascii="仿宋_GB2312" w:eastAsia="仿宋_GB2312" w:hAnsi="仿宋_GB2312" w:cs="仿宋_GB2312" w:hint="eastAsia"/>
                <w:szCs w:val="21"/>
              </w:rPr>
              <w:t>2学期</w:t>
            </w:r>
          </w:p>
        </w:tc>
      </w:tr>
    </w:tbl>
    <w:p w14:paraId="06A56706" w14:textId="77777777" w:rsidR="001C3D32" w:rsidRDefault="001C3D32">
      <w:pPr>
        <w:spacing w:line="360" w:lineRule="auto"/>
        <w:rPr>
          <w:rFonts w:ascii="宋体" w:eastAsia="宋体" w:hAnsi="宋体" w:cs="仿宋_GB2312"/>
          <w:sz w:val="24"/>
        </w:rPr>
      </w:pPr>
    </w:p>
    <w:p w14:paraId="126E003D" w14:textId="77777777" w:rsidR="001C3D32" w:rsidRDefault="00000000">
      <w:pPr>
        <w:pStyle w:val="a8"/>
        <w:ind w:firstLine="482"/>
      </w:pPr>
      <w:r>
        <w:rPr>
          <w:rFonts w:cs="仿宋_GB2312"/>
          <w:b/>
          <w:kern w:val="2"/>
          <w:szCs w:val="22"/>
        </w:rPr>
        <w:t>3.就业方向</w:t>
      </w:r>
    </w:p>
    <w:p w14:paraId="210BDA56" w14:textId="77777777" w:rsidR="001C3D32" w:rsidRDefault="00000000">
      <w:pPr>
        <w:pStyle w:val="a8"/>
      </w:pPr>
      <w:r>
        <w:rPr>
          <w:rFonts w:hint="eastAsia"/>
        </w:rPr>
        <w:t>持有本微专业证书的毕业生，未来能在科研院所、化工集团公司、石油石化公司、新能源科技公司等从事相关工作。随着新兴技术应用的拓展以及对绿色能源和环保技术的迫切需求，预计未来“氟新材料设计与应用”领域专业人才将有更广阔的就业前景。因此，该专业将为学生提供良好的就业前景和发展机会，为社会提供高层次的氟新材料设计与应用人才支持。</w:t>
      </w:r>
    </w:p>
    <w:p w14:paraId="5EC3D53B" w14:textId="77777777" w:rsidR="001C3D32" w:rsidRDefault="00000000">
      <w:pPr>
        <w:pStyle w:val="a8"/>
        <w:rPr>
          <w:rFonts w:cs="仿宋_GB2312"/>
        </w:rPr>
      </w:pPr>
      <w:r>
        <w:rPr>
          <w:noProof/>
        </w:rPr>
        <w:drawing>
          <wp:inline distT="0" distB="0" distL="0" distR="0" wp14:anchorId="6FEEB84E" wp14:editId="34217462">
            <wp:extent cx="2255520" cy="619125"/>
            <wp:effectExtent l="0" t="0" r="0" b="9525"/>
            <wp:docPr id="2793642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364249" name="图片 1"/>
                    <pic:cNvPicPr>
                      <a:picLocks noChangeAspect="1"/>
                    </pic:cNvPicPr>
                  </pic:nvPicPr>
                  <pic:blipFill>
                    <a:blip r:embed="rId7"/>
                    <a:stretch>
                      <a:fillRect/>
                    </a:stretch>
                  </pic:blipFill>
                  <pic:spPr>
                    <a:xfrm>
                      <a:off x="0" y="0"/>
                      <a:ext cx="2259327" cy="620208"/>
                    </a:xfrm>
                    <a:prstGeom prst="rect">
                      <a:avLst/>
                    </a:prstGeom>
                  </pic:spPr>
                </pic:pic>
              </a:graphicData>
            </a:graphic>
          </wp:inline>
        </w:drawing>
      </w:r>
      <w:r>
        <w:t xml:space="preserve"> </w:t>
      </w:r>
      <w:r>
        <w:rPr>
          <w:noProof/>
        </w:rPr>
        <w:drawing>
          <wp:inline distT="0" distB="0" distL="0" distR="0" wp14:anchorId="027AAABF" wp14:editId="36F51E61">
            <wp:extent cx="803275" cy="876300"/>
            <wp:effectExtent l="0" t="0" r="0" b="0"/>
            <wp:docPr id="8809350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35064" name="图片 1"/>
                    <pic:cNvPicPr>
                      <a:picLocks noChangeAspect="1"/>
                    </pic:cNvPicPr>
                  </pic:nvPicPr>
                  <pic:blipFill>
                    <a:blip r:embed="rId8">
                      <a:extLst>
                        <a:ext uri="{BEBA8EAE-BF5A-486C-A8C5-ECC9F3942E4B}">
                          <a14:imgProps xmlns:a14="http://schemas.microsoft.com/office/drawing/2010/main">
                            <a14:imgLayer r:embed="rId9">
                              <a14:imgEffect>
                                <a14:brightnessContrast bright="20000"/>
                              </a14:imgEffect>
                            </a14:imgLayer>
                          </a14:imgProps>
                        </a:ext>
                      </a:extLst>
                    </a:blip>
                    <a:stretch>
                      <a:fillRect/>
                    </a:stretch>
                  </pic:blipFill>
                  <pic:spPr>
                    <a:xfrm>
                      <a:off x="0" y="0"/>
                      <a:ext cx="807481" cy="880449"/>
                    </a:xfrm>
                    <a:prstGeom prst="rect">
                      <a:avLst/>
                    </a:prstGeom>
                  </pic:spPr>
                </pic:pic>
              </a:graphicData>
            </a:graphic>
          </wp:inline>
        </w:drawing>
      </w:r>
      <w:r>
        <w:t xml:space="preserve">  </w:t>
      </w:r>
      <w:r>
        <w:rPr>
          <w:noProof/>
        </w:rPr>
        <w:drawing>
          <wp:inline distT="0" distB="0" distL="0" distR="0" wp14:anchorId="749B4388" wp14:editId="037AB684">
            <wp:extent cx="764540" cy="784860"/>
            <wp:effectExtent l="0" t="0" r="12700" b="7620"/>
            <wp:docPr id="13237423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42304" name="图片 1"/>
                    <pic:cNvPicPr>
                      <a:picLocks noChangeAspect="1"/>
                    </pic:cNvPicPr>
                  </pic:nvPicPr>
                  <pic:blipFill>
                    <a:blip r:embed="rId10"/>
                    <a:stretch>
                      <a:fillRect/>
                    </a:stretch>
                  </pic:blipFill>
                  <pic:spPr>
                    <a:xfrm>
                      <a:off x="0" y="0"/>
                      <a:ext cx="764540" cy="784860"/>
                    </a:xfrm>
                    <a:prstGeom prst="rect">
                      <a:avLst/>
                    </a:prstGeom>
                  </pic:spPr>
                </pic:pic>
              </a:graphicData>
            </a:graphic>
          </wp:inline>
        </w:drawing>
      </w:r>
      <w:r>
        <w:rPr>
          <w:noProof/>
        </w:rPr>
        <w:drawing>
          <wp:inline distT="0" distB="0" distL="0" distR="0" wp14:anchorId="15B88E0B" wp14:editId="642DF64A">
            <wp:extent cx="3230880" cy="579120"/>
            <wp:effectExtent l="0" t="0" r="7620" b="0"/>
            <wp:docPr id="7338627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62750" name="图片 1"/>
                    <pic:cNvPicPr>
                      <a:picLocks noChangeAspect="1"/>
                    </pic:cNvPicPr>
                  </pic:nvPicPr>
                  <pic:blipFill>
                    <a:blip r:embed="rId11"/>
                    <a:stretch>
                      <a:fillRect/>
                    </a:stretch>
                  </pic:blipFill>
                  <pic:spPr>
                    <a:xfrm>
                      <a:off x="0" y="0"/>
                      <a:ext cx="3231160" cy="579170"/>
                    </a:xfrm>
                    <a:prstGeom prst="rect">
                      <a:avLst/>
                    </a:prstGeom>
                  </pic:spPr>
                </pic:pic>
              </a:graphicData>
            </a:graphic>
          </wp:inline>
        </w:drawing>
      </w:r>
      <w:r>
        <w:rPr>
          <w:noProof/>
        </w:rPr>
        <w:drawing>
          <wp:inline distT="0" distB="0" distL="0" distR="0" wp14:anchorId="524E5ADC" wp14:editId="23008BEE">
            <wp:extent cx="1752600" cy="598170"/>
            <wp:effectExtent l="0" t="0" r="0" b="0"/>
            <wp:docPr id="14085164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16494" name="图片 1"/>
                    <pic:cNvPicPr>
                      <a:picLocks noChangeAspect="1"/>
                    </pic:cNvPicPr>
                  </pic:nvPicPr>
                  <pic:blipFill>
                    <a:blip r:embed="rId12"/>
                    <a:stretch>
                      <a:fillRect/>
                    </a:stretch>
                  </pic:blipFill>
                  <pic:spPr>
                    <a:xfrm>
                      <a:off x="0" y="0"/>
                      <a:ext cx="1760312" cy="601234"/>
                    </a:xfrm>
                    <a:prstGeom prst="rect">
                      <a:avLst/>
                    </a:prstGeom>
                  </pic:spPr>
                </pic:pic>
              </a:graphicData>
            </a:graphic>
          </wp:inline>
        </w:drawing>
      </w:r>
      <w:r>
        <w:rPr>
          <w:noProof/>
        </w:rPr>
        <w:drawing>
          <wp:inline distT="0" distB="0" distL="0" distR="0" wp14:anchorId="6704F36A" wp14:editId="43FB0E10">
            <wp:extent cx="2019300" cy="466725"/>
            <wp:effectExtent l="0" t="0" r="0" b="9525"/>
            <wp:docPr id="7999600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60014" name="图片 1"/>
                    <pic:cNvPicPr>
                      <a:picLocks noChangeAspect="1"/>
                    </pic:cNvPicPr>
                  </pic:nvPicPr>
                  <pic:blipFill>
                    <a:blip r:embed="rId13"/>
                    <a:stretch>
                      <a:fillRect/>
                    </a:stretch>
                  </pic:blipFill>
                  <pic:spPr>
                    <a:xfrm>
                      <a:off x="0" y="0"/>
                      <a:ext cx="2025915" cy="468579"/>
                    </a:xfrm>
                    <a:prstGeom prst="rect">
                      <a:avLst/>
                    </a:prstGeom>
                  </pic:spPr>
                </pic:pic>
              </a:graphicData>
            </a:graphic>
          </wp:inline>
        </w:drawing>
      </w:r>
      <w:r>
        <w:t xml:space="preserve"> </w:t>
      </w:r>
      <w:r>
        <w:rPr>
          <w:noProof/>
        </w:rPr>
        <w:drawing>
          <wp:inline distT="0" distB="0" distL="0" distR="0" wp14:anchorId="11574C83" wp14:editId="5D1F091E">
            <wp:extent cx="998220" cy="906145"/>
            <wp:effectExtent l="0" t="0" r="0" b="8255"/>
            <wp:docPr id="7592716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71618" name="图片 1"/>
                    <pic:cNvPicPr>
                      <a:picLocks noChangeAspect="1"/>
                    </pic:cNvPicPr>
                  </pic:nvPicPr>
                  <pic:blipFill>
                    <a:blip r:embed="rId14"/>
                    <a:stretch>
                      <a:fillRect/>
                    </a:stretch>
                  </pic:blipFill>
                  <pic:spPr>
                    <a:xfrm>
                      <a:off x="0" y="0"/>
                      <a:ext cx="1007139" cy="914768"/>
                    </a:xfrm>
                    <a:prstGeom prst="rect">
                      <a:avLst/>
                    </a:prstGeom>
                  </pic:spPr>
                </pic:pic>
              </a:graphicData>
            </a:graphic>
          </wp:inline>
        </w:drawing>
      </w:r>
      <w:r>
        <w:t xml:space="preserve"> </w:t>
      </w:r>
      <w:r>
        <w:rPr>
          <w:noProof/>
        </w:rPr>
        <w:drawing>
          <wp:inline distT="0" distB="0" distL="0" distR="0" wp14:anchorId="0AADA156" wp14:editId="42132720">
            <wp:extent cx="1760220" cy="660400"/>
            <wp:effectExtent l="0" t="0" r="0" b="6350"/>
            <wp:docPr id="5520258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25830" name="图片 1"/>
                    <pic:cNvPicPr>
                      <a:picLocks noChangeAspect="1"/>
                    </pic:cNvPicPr>
                  </pic:nvPicPr>
                  <pic:blipFill>
                    <a:blip r:embed="rId15"/>
                    <a:stretch>
                      <a:fillRect/>
                    </a:stretch>
                  </pic:blipFill>
                  <pic:spPr>
                    <a:xfrm>
                      <a:off x="0" y="0"/>
                      <a:ext cx="1768499" cy="664062"/>
                    </a:xfrm>
                    <a:prstGeom prst="rect">
                      <a:avLst/>
                    </a:prstGeom>
                  </pic:spPr>
                </pic:pic>
              </a:graphicData>
            </a:graphic>
          </wp:inline>
        </w:drawing>
      </w:r>
      <w:r>
        <w:t xml:space="preserve"> </w:t>
      </w:r>
      <w:r>
        <w:rPr>
          <w:noProof/>
        </w:rPr>
        <w:drawing>
          <wp:inline distT="0" distB="0" distL="0" distR="0" wp14:anchorId="73D0CA04" wp14:editId="2BE30207">
            <wp:extent cx="2110740" cy="487680"/>
            <wp:effectExtent l="0" t="0" r="3810" b="7620"/>
            <wp:docPr id="3030120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12076" name="图片 1"/>
                    <pic:cNvPicPr>
                      <a:picLocks noChangeAspect="1"/>
                    </pic:cNvPicPr>
                  </pic:nvPicPr>
                  <pic:blipFill>
                    <a:blip r:embed="rId16"/>
                    <a:stretch>
                      <a:fillRect/>
                    </a:stretch>
                  </pic:blipFill>
                  <pic:spPr>
                    <a:xfrm>
                      <a:off x="0" y="0"/>
                      <a:ext cx="2117570" cy="489258"/>
                    </a:xfrm>
                    <a:prstGeom prst="rect">
                      <a:avLst/>
                    </a:prstGeom>
                  </pic:spPr>
                </pic:pic>
              </a:graphicData>
            </a:graphic>
          </wp:inline>
        </w:drawing>
      </w:r>
      <w:r>
        <w:t xml:space="preserve">  </w:t>
      </w:r>
      <w:r>
        <w:rPr>
          <w:noProof/>
        </w:rPr>
        <w:drawing>
          <wp:inline distT="0" distB="0" distL="0" distR="0" wp14:anchorId="3ED182B6" wp14:editId="0690547E">
            <wp:extent cx="1783080" cy="426720"/>
            <wp:effectExtent l="0" t="0" r="7620" b="0"/>
            <wp:docPr id="4298419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41914" name="图片 1"/>
                    <pic:cNvPicPr>
                      <a:picLocks noChangeAspect="1"/>
                    </pic:cNvPicPr>
                  </pic:nvPicPr>
                  <pic:blipFill>
                    <a:blip r:embed="rId17"/>
                    <a:stretch>
                      <a:fillRect/>
                    </a:stretch>
                  </pic:blipFill>
                  <pic:spPr>
                    <a:xfrm>
                      <a:off x="0" y="0"/>
                      <a:ext cx="1783235" cy="426757"/>
                    </a:xfrm>
                    <a:prstGeom prst="rect">
                      <a:avLst/>
                    </a:prstGeom>
                  </pic:spPr>
                </pic:pic>
              </a:graphicData>
            </a:graphic>
          </wp:inline>
        </w:drawing>
      </w:r>
      <w:r>
        <w:t xml:space="preserve"> </w:t>
      </w:r>
    </w:p>
    <w:p w14:paraId="19D816EC" w14:textId="77777777" w:rsidR="001C3D32" w:rsidRDefault="00000000">
      <w:pPr>
        <w:spacing w:line="360" w:lineRule="auto"/>
        <w:ind w:firstLineChars="200" w:firstLine="482"/>
        <w:rPr>
          <w:rFonts w:ascii="宋体" w:eastAsia="宋体" w:hAnsi="宋体" w:cs="仿宋_GB2312"/>
          <w:b/>
          <w:bCs/>
          <w:sz w:val="24"/>
        </w:rPr>
      </w:pPr>
      <w:r>
        <w:rPr>
          <w:rFonts w:ascii="宋体" w:eastAsia="宋体" w:hAnsi="宋体" w:cs="仿宋_GB2312"/>
          <w:b/>
          <w:bCs/>
          <w:sz w:val="24"/>
        </w:rPr>
        <w:t>4</w:t>
      </w:r>
      <w:r>
        <w:rPr>
          <w:rFonts w:ascii="宋体" w:eastAsia="宋体" w:hAnsi="宋体" w:cs="仿宋_GB2312" w:hint="eastAsia"/>
          <w:b/>
          <w:bCs/>
          <w:sz w:val="24"/>
        </w:rPr>
        <w:t>.企业招聘职位</w:t>
      </w:r>
    </w:p>
    <w:p w14:paraId="11F41116"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目前相关企业招聘职位有：新材料工程师、研发工程师、化工工艺工程师、材料科学研究员、产品开发经理、能源咨询顾问、供应链经理、数字化工业工程师、储能工程师、品质管理工程师、分析工程师等。</w:t>
      </w:r>
    </w:p>
    <w:p w14:paraId="5B40390E" w14:textId="77777777" w:rsidR="001C3D32" w:rsidRDefault="00000000">
      <w:pPr>
        <w:spacing w:line="360" w:lineRule="auto"/>
        <w:ind w:firstLineChars="200" w:firstLine="482"/>
        <w:rPr>
          <w:rFonts w:ascii="宋体" w:eastAsia="宋体" w:hAnsi="宋体" w:cs="仿宋_GB2312"/>
          <w:b/>
          <w:bCs/>
          <w:sz w:val="24"/>
        </w:rPr>
      </w:pPr>
      <w:r>
        <w:rPr>
          <w:rFonts w:ascii="宋体" w:eastAsia="宋体" w:hAnsi="宋体" w:cs="仿宋_GB2312"/>
          <w:b/>
          <w:bCs/>
          <w:sz w:val="24"/>
        </w:rPr>
        <w:t>5</w:t>
      </w:r>
      <w:r>
        <w:rPr>
          <w:rFonts w:ascii="宋体" w:eastAsia="宋体" w:hAnsi="宋体" w:cs="仿宋_GB2312" w:hint="eastAsia"/>
          <w:b/>
          <w:bCs/>
          <w:sz w:val="24"/>
        </w:rPr>
        <w:t>.岗位的职业发展</w:t>
      </w:r>
    </w:p>
    <w:p w14:paraId="49D9B38A"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lastRenderedPageBreak/>
        <w:t>（1）</w:t>
      </w:r>
      <w:r>
        <w:rPr>
          <w:rFonts w:ascii="宋体" w:eastAsia="宋体" w:hAnsi="宋体" w:cs="仿宋_GB2312" w:hint="eastAsia"/>
          <w:b/>
          <w:bCs/>
          <w:color w:val="0000FF"/>
          <w:sz w:val="24"/>
        </w:rPr>
        <w:t>专业技术人才发展路径</w:t>
      </w:r>
      <w:r>
        <w:rPr>
          <w:rFonts w:ascii="宋体" w:eastAsia="宋体" w:hAnsi="宋体" w:cs="仿宋_GB2312" w:hint="eastAsia"/>
          <w:sz w:val="24"/>
        </w:rPr>
        <w:t>：作为</w:t>
      </w:r>
      <w:r>
        <w:rPr>
          <w:rFonts w:ascii="宋体" w:eastAsia="宋体" w:hAnsi="宋体" w:cs="仿宋_GB2312"/>
          <w:sz w:val="24"/>
        </w:rPr>
        <w:t>“</w:t>
      </w:r>
      <w:r>
        <w:rPr>
          <w:rFonts w:ascii="宋体" w:eastAsia="宋体" w:hAnsi="宋体" w:cs="仿宋_GB2312" w:hint="eastAsia"/>
          <w:sz w:val="24"/>
        </w:rPr>
        <w:t>氟新材料设计与应用</w:t>
      </w:r>
      <w:r>
        <w:rPr>
          <w:rFonts w:ascii="宋体" w:eastAsia="宋体" w:hAnsi="宋体" w:cs="仿宋_GB2312"/>
          <w:sz w:val="24"/>
        </w:rPr>
        <w:t>”</w:t>
      </w:r>
      <w:r>
        <w:rPr>
          <w:rFonts w:ascii="宋体" w:eastAsia="宋体" w:hAnsi="宋体" w:cs="仿宋_GB2312" w:hint="eastAsia"/>
          <w:sz w:val="24"/>
        </w:rPr>
        <w:t>领域的专业人才，毕业生可以通过不断深耕专业知识，参与项目研发与创新，逐步成长为技术专家，主导新材料科研项目，负责新产品开发与改进，并能在企业中具备重要技术领导地位。</w:t>
      </w:r>
    </w:p>
    <w:p w14:paraId="3FC98CB9"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（2）</w:t>
      </w:r>
      <w:r>
        <w:rPr>
          <w:rFonts w:ascii="宋体" w:eastAsia="宋体" w:hAnsi="宋体" w:cs="仿宋_GB2312" w:hint="eastAsia"/>
          <w:b/>
          <w:bCs/>
          <w:color w:val="0000FF"/>
          <w:sz w:val="24"/>
        </w:rPr>
        <w:t>工程管理与技术服务方向</w:t>
      </w:r>
      <w:r>
        <w:rPr>
          <w:rFonts w:ascii="宋体" w:eastAsia="宋体" w:hAnsi="宋体" w:cs="仿宋_GB2312" w:hint="eastAsia"/>
          <w:sz w:val="24"/>
        </w:rPr>
        <w:t>：毕业生可以选择迈向工程管理或技术服务领域，担任项目管理职位，负责新材料生产线建设、工艺改进等项目；或者从事技术服务工作，为客户提供氟新材料技术支持和解决方案，拓展产品应用领域和市场份额。</w:t>
      </w:r>
    </w:p>
    <w:p w14:paraId="32287C03"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（3）</w:t>
      </w:r>
      <w:r>
        <w:rPr>
          <w:rFonts w:ascii="宋体" w:eastAsia="宋体" w:hAnsi="宋体" w:cs="仿宋_GB2312" w:hint="eastAsia"/>
          <w:b/>
          <w:bCs/>
          <w:color w:val="0000FF"/>
          <w:sz w:val="24"/>
        </w:rPr>
        <w:t>跨界创新与产业管理</w:t>
      </w:r>
      <w:r>
        <w:rPr>
          <w:rFonts w:ascii="宋体" w:eastAsia="宋体" w:hAnsi="宋体" w:cs="仿宋_GB2312" w:hint="eastAsia"/>
          <w:sz w:val="24"/>
        </w:rPr>
        <w:t>：结合多学科综合素养，毕业生可积极跨界融合，涉足新材料、能源、环保等多领域产业，担任产业规划、跨行业合作、政策研究与制定等工作，推动新材料、清洁能源产业体系建设和应用创新。</w:t>
      </w:r>
    </w:p>
    <w:p w14:paraId="562A3AA8"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（4）</w:t>
      </w:r>
      <w:r>
        <w:rPr>
          <w:rFonts w:ascii="宋体" w:eastAsia="宋体" w:hAnsi="宋体" w:cs="仿宋_GB2312" w:hint="eastAsia"/>
          <w:b/>
          <w:bCs/>
          <w:color w:val="0000FF"/>
          <w:sz w:val="24"/>
        </w:rPr>
        <w:t>科学研究与学术发展</w:t>
      </w:r>
      <w:r>
        <w:rPr>
          <w:rFonts w:ascii="宋体" w:eastAsia="宋体" w:hAnsi="宋体" w:cs="仿宋_GB2312" w:hint="eastAsia"/>
          <w:sz w:val="24"/>
        </w:rPr>
        <w:t>：有志于深入科学研究和学术领域的毕业生，可选择攻读硕士、博士学位，或者投身高校、科研院所从事科学研究工作，在</w:t>
      </w:r>
      <w:r>
        <w:rPr>
          <w:rFonts w:ascii="宋体" w:eastAsia="宋体" w:hAnsi="宋体" w:cs="仿宋_GB2312"/>
          <w:sz w:val="24"/>
        </w:rPr>
        <w:t>“</w:t>
      </w:r>
      <w:r>
        <w:rPr>
          <w:rFonts w:ascii="宋体" w:eastAsia="宋体" w:hAnsi="宋体" w:cs="仿宋_GB2312" w:hint="eastAsia"/>
          <w:sz w:val="24"/>
        </w:rPr>
        <w:t>氟新材料设计与应用</w:t>
      </w:r>
      <w:r>
        <w:rPr>
          <w:rFonts w:ascii="宋体" w:eastAsia="宋体" w:hAnsi="宋体" w:cs="仿宋_GB2312"/>
          <w:sz w:val="24"/>
        </w:rPr>
        <w:t>”</w:t>
      </w:r>
      <w:r>
        <w:rPr>
          <w:rFonts w:ascii="宋体" w:eastAsia="宋体" w:hAnsi="宋体" w:cs="仿宋_GB2312" w:hint="eastAsia"/>
          <w:sz w:val="24"/>
        </w:rPr>
        <w:t>领域取得重要科研成果，培养下一代科研人才，推动学科发展和技术创新。</w:t>
      </w:r>
    </w:p>
    <w:p w14:paraId="2D192862" w14:textId="77777777" w:rsidR="001C3D32" w:rsidRDefault="00000000">
      <w:pPr>
        <w:spacing w:line="360" w:lineRule="auto"/>
        <w:ind w:firstLineChars="200" w:firstLine="482"/>
        <w:rPr>
          <w:rFonts w:ascii="宋体" w:eastAsia="宋体" w:hAnsi="宋体" w:cs="仿宋_GB2312"/>
          <w:b/>
          <w:bCs/>
          <w:sz w:val="24"/>
        </w:rPr>
      </w:pPr>
      <w:r>
        <w:rPr>
          <w:rFonts w:ascii="宋体" w:eastAsia="宋体" w:hAnsi="宋体" w:cs="仿宋_GB2312" w:hint="eastAsia"/>
          <w:b/>
          <w:bCs/>
          <w:sz w:val="24"/>
        </w:rPr>
        <w:t>6</w:t>
      </w:r>
      <w:r>
        <w:rPr>
          <w:rFonts w:ascii="宋体" w:eastAsia="宋体" w:hAnsi="宋体" w:cs="仿宋_GB2312"/>
          <w:b/>
          <w:bCs/>
          <w:sz w:val="24"/>
        </w:rPr>
        <w:t>.</w:t>
      </w:r>
      <w:r>
        <w:rPr>
          <w:rFonts w:ascii="宋体" w:eastAsia="宋体" w:hAnsi="宋体" w:cs="仿宋_GB2312" w:hint="eastAsia"/>
          <w:b/>
          <w:bCs/>
          <w:sz w:val="24"/>
        </w:rPr>
        <w:t>合作单位/企业简介</w:t>
      </w:r>
    </w:p>
    <w:p w14:paraId="392EF9EA"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1）福建三明金氟化工科技有限公司：成立于2014年，是一家致力于氟气、含氟新材料、氟化物及特种化学品的研发和生产的科技型现代化企业。公司依托自有的氟化工先进技术和强劲的科技创新实力，着力开发含氟精细化工产品和含氟新材料。企业官网：http://www.fjjfhg.com/</w:t>
      </w:r>
    </w:p>
    <w:p w14:paraId="5A365654" w14:textId="77777777" w:rsidR="001C3D32" w:rsidRDefault="00000000">
      <w:pPr>
        <w:spacing w:line="360" w:lineRule="auto"/>
        <w:ind w:firstLineChars="200" w:firstLine="480"/>
        <w:rPr>
          <w:rFonts w:ascii="宋体" w:eastAsia="宋体" w:hAnsi="宋体" w:cs="仿宋_GB2312"/>
          <w:sz w:val="24"/>
        </w:rPr>
      </w:pPr>
      <w:r>
        <w:rPr>
          <w:rFonts w:ascii="宋体" w:eastAsia="宋体" w:hAnsi="宋体" w:cs="仿宋_GB2312" w:hint="eastAsia"/>
          <w:sz w:val="24"/>
        </w:rPr>
        <w:t>（2）三明市氟化工产业协会：三明市氟化工产业协会是在三明市氟化工产业发展需求下，由福建三农新材料有限责任公司和三明学院牵头成立，于2018年1月20日正式揭牌。协会宗旨是“成企达己、共赢未来”。主要职责是整合地方氟化工产业资源，为企业提供技术服务、项目孵化、人才培训、产业咨询等，打造企业沟通交流服务平台，推动氟化工产业发展。协会积极参与行业标准制定与推广，协助企业组织产品论证会，促进氟化工产业高质量发展。</w:t>
      </w:r>
    </w:p>
    <w:p w14:paraId="719AC9ED" w14:textId="77777777" w:rsidR="001C3D32" w:rsidRDefault="001C3D32">
      <w:pPr>
        <w:spacing w:line="360" w:lineRule="auto"/>
        <w:ind w:firstLineChars="200" w:firstLine="480"/>
        <w:rPr>
          <w:rFonts w:ascii="宋体" w:eastAsia="宋体" w:hAnsi="宋体" w:cs="仿宋_GB2312"/>
          <w:sz w:val="24"/>
        </w:rPr>
      </w:pPr>
    </w:p>
    <w:p w14:paraId="5A417B23" w14:textId="77777777" w:rsidR="001C3D32" w:rsidRDefault="00000000">
      <w:pPr>
        <w:spacing w:line="360" w:lineRule="auto"/>
        <w:ind w:firstLineChars="200" w:firstLine="562"/>
        <w:rPr>
          <w:rFonts w:ascii="宋体" w:eastAsia="宋体" w:hAnsi="宋体" w:cs="仿宋_GB2312"/>
          <w:b/>
          <w:bCs/>
          <w:sz w:val="28"/>
          <w:szCs w:val="24"/>
        </w:rPr>
      </w:pPr>
      <w:r>
        <w:rPr>
          <w:rFonts w:ascii="宋体" w:eastAsia="宋体" w:hAnsi="宋体" w:cs="仿宋_GB2312" w:hint="eastAsia"/>
          <w:b/>
          <w:bCs/>
          <w:sz w:val="28"/>
          <w:szCs w:val="24"/>
        </w:rPr>
        <w:t xml:space="preserve">二、报名办法及相关说明 </w:t>
      </w:r>
    </w:p>
    <w:p w14:paraId="1D1DD93D" w14:textId="77777777" w:rsidR="001C3D32" w:rsidRDefault="00000000">
      <w:pPr>
        <w:spacing w:line="360" w:lineRule="auto"/>
        <w:ind w:firstLineChars="200" w:firstLine="482"/>
        <w:rPr>
          <w:rFonts w:ascii="宋体" w:eastAsia="宋体" w:hAnsi="宋体" w:cs="仿宋_GB2312"/>
          <w:b/>
          <w:bCs/>
          <w:sz w:val="24"/>
        </w:rPr>
      </w:pPr>
      <w:r>
        <w:rPr>
          <w:rFonts w:ascii="宋体" w:eastAsia="宋体" w:hAnsi="宋体" w:cs="仿宋_GB2312" w:hint="eastAsia"/>
          <w:b/>
          <w:bCs/>
          <w:sz w:val="24"/>
        </w:rPr>
        <w:t>1.修读条件</w:t>
      </w:r>
    </w:p>
    <w:p w14:paraId="1D23C5BD" w14:textId="77777777" w:rsidR="001C3D32" w:rsidRDefault="00000000">
      <w:pPr>
        <w:spacing w:line="360" w:lineRule="auto"/>
        <w:ind w:left="1202" w:hanging="720"/>
        <w:rPr>
          <w:rFonts w:ascii="宋体" w:eastAsia="宋体" w:hAnsi="宋体" w:cs="仿宋_GB2312"/>
          <w:sz w:val="24"/>
        </w:rPr>
      </w:pPr>
      <w:r>
        <w:rPr>
          <w:rFonts w:ascii="宋体" w:eastAsia="宋体" w:hAnsi="宋体" w:cs="仿宋_GB2312" w:hint="eastAsia"/>
          <w:sz w:val="24"/>
        </w:rPr>
        <w:lastRenderedPageBreak/>
        <w:t>（1）限2023-2025级在读材料化学、化工专业（不包含专升本）学生报名（不包含专升本学生），主修专业课程无重修记录。</w:t>
      </w:r>
    </w:p>
    <w:p w14:paraId="0065AF91" w14:textId="77777777" w:rsidR="001C3D32" w:rsidRDefault="00000000">
      <w:pPr>
        <w:spacing w:line="360" w:lineRule="auto"/>
        <w:ind w:left="1202" w:hanging="720"/>
        <w:rPr>
          <w:rFonts w:ascii="宋体" w:eastAsia="宋体" w:hAnsi="宋体" w:cs="仿宋_GB2312"/>
          <w:sz w:val="24"/>
        </w:rPr>
      </w:pPr>
      <w:r>
        <w:rPr>
          <w:rFonts w:ascii="宋体" w:eastAsia="宋体" w:hAnsi="宋体" w:cs="仿宋_GB2312" w:hint="eastAsia"/>
          <w:sz w:val="24"/>
        </w:rPr>
        <w:t>（2）热衷于跨学科的创新与融合，助力新材料、新能源技术的发展。</w:t>
      </w:r>
    </w:p>
    <w:p w14:paraId="580D013A" w14:textId="77777777" w:rsidR="001C3D32" w:rsidRDefault="00000000">
      <w:pPr>
        <w:spacing w:line="360" w:lineRule="auto"/>
        <w:ind w:left="1202" w:hanging="720"/>
        <w:rPr>
          <w:rFonts w:ascii="宋体" w:eastAsia="宋体" w:hAnsi="宋体" w:cs="仿宋_GB2312"/>
          <w:sz w:val="24"/>
        </w:rPr>
      </w:pPr>
      <w:r>
        <w:rPr>
          <w:rFonts w:ascii="宋体" w:eastAsia="宋体" w:hAnsi="宋体" w:cs="仿宋_GB2312" w:hint="eastAsia"/>
          <w:sz w:val="24"/>
        </w:rPr>
        <w:t>（3）愿意参与丰富的实践和科学研究。</w:t>
      </w:r>
    </w:p>
    <w:p w14:paraId="05F4E6B7" w14:textId="77777777" w:rsidR="001C3D32" w:rsidRDefault="00000000">
      <w:pPr>
        <w:pStyle w:val="a8"/>
        <w:ind w:firstLine="482"/>
      </w:pPr>
      <w:r>
        <w:rPr>
          <w:rStyle w:val="aa"/>
          <w:rFonts w:hint="eastAsia"/>
        </w:rPr>
        <w:t>2</w:t>
      </w:r>
      <w:r>
        <w:rPr>
          <w:rStyle w:val="aa"/>
        </w:rPr>
        <w:t>.</w:t>
      </w:r>
      <w:r>
        <w:rPr>
          <w:rStyle w:val="aa"/>
          <w:rFonts w:hint="eastAsia"/>
        </w:rPr>
        <w:t>报名方式与报名时间</w:t>
      </w:r>
    </w:p>
    <w:p w14:paraId="1F43B7C6" w14:textId="77777777" w:rsidR="001C3D32" w:rsidRDefault="00000000">
      <w:pPr>
        <w:spacing w:line="360" w:lineRule="auto"/>
        <w:ind w:firstLineChars="200" w:firstLine="420"/>
        <w:rPr>
          <w:rFonts w:ascii="宋体" w:eastAsia="宋体" w:hAnsi="宋体" w:cs="宋体"/>
          <w:kern w:val="0"/>
          <w:sz w:val="24"/>
          <w:szCs w:val="24"/>
        </w:rPr>
      </w:pPr>
      <w:r>
        <w:rPr>
          <w:rFonts w:eastAsia="宋体" w:hint="eastAsia"/>
        </w:rPr>
        <w:t>见学校通知</w:t>
      </w:r>
      <w:r>
        <w:rPr>
          <w:rFonts w:ascii="宋体" w:eastAsia="宋体" w:hAnsi="宋体" w:cs="宋体" w:hint="eastAsia"/>
          <w:kern w:val="0"/>
          <w:sz w:val="24"/>
          <w:szCs w:val="24"/>
        </w:rPr>
        <w:t>。</w:t>
      </w:r>
    </w:p>
    <w:p w14:paraId="03EDF0BD" w14:textId="77777777" w:rsidR="001C3D32" w:rsidRDefault="00000000">
      <w:pPr>
        <w:pStyle w:val="a8"/>
        <w:ind w:firstLine="482"/>
      </w:pPr>
      <w:r>
        <w:rPr>
          <w:rStyle w:val="aa"/>
          <w:rFonts w:hint="eastAsia"/>
          <w:color w:val="000000" w:themeColor="text1"/>
        </w:rPr>
        <w:t>3.</w:t>
      </w:r>
      <w:r>
        <w:rPr>
          <w:rStyle w:val="aa"/>
          <w:color w:val="000000" w:themeColor="text1"/>
        </w:rPr>
        <w:t>报名咨询</w:t>
      </w:r>
    </w:p>
    <w:p w14:paraId="5A3932EA" w14:textId="27EDB35C" w:rsidR="001C3D32" w:rsidRDefault="00000000">
      <w:pPr>
        <w:pStyle w:val="a8"/>
      </w:pPr>
      <w:r>
        <w:rPr>
          <w:rFonts w:hint="eastAsia"/>
        </w:rPr>
        <w:t>资源与化工学院化工</w:t>
      </w:r>
      <w:r>
        <w:t>系：</w:t>
      </w:r>
      <w:r>
        <w:rPr>
          <w:rFonts w:hint="eastAsia"/>
        </w:rPr>
        <w:t>15159168009</w:t>
      </w:r>
      <w:r>
        <w:t xml:space="preserve"> </w:t>
      </w:r>
      <w:r>
        <w:rPr>
          <w:rFonts w:hint="eastAsia"/>
        </w:rPr>
        <w:t>田</w:t>
      </w:r>
      <w:r>
        <w:t>老师</w:t>
      </w:r>
      <w:r>
        <w:rPr>
          <w:rFonts w:hint="eastAsia"/>
        </w:rPr>
        <w:t>，QQ群：</w:t>
      </w:r>
      <w:r>
        <w:t>645129500</w:t>
      </w:r>
      <w:r w:rsidR="0071358E">
        <w:rPr>
          <w:rFonts w:hint="eastAsia"/>
        </w:rPr>
        <w:t>（</w:t>
      </w:r>
      <w:r w:rsidR="0071358E" w:rsidRPr="0071358E">
        <w:t>加群</w:t>
      </w:r>
      <w:r w:rsidR="0071358E">
        <w:rPr>
          <w:rFonts w:hint="eastAsia"/>
        </w:rPr>
        <w:t>时请</w:t>
      </w:r>
      <w:r w:rsidR="0071358E" w:rsidRPr="0071358E">
        <w:t>备注</w:t>
      </w:r>
      <w:r w:rsidR="0071358E">
        <w:rPr>
          <w:rFonts w:hint="eastAsia"/>
        </w:rPr>
        <w:t>：</w:t>
      </w:r>
      <w:r w:rsidR="0071358E" w:rsidRPr="0071358E">
        <w:t>学号+姓名</w:t>
      </w:r>
      <w:r w:rsidR="0071358E">
        <w:rPr>
          <w:rFonts w:hint="eastAsia"/>
        </w:rPr>
        <w:t>）</w:t>
      </w:r>
      <w:r>
        <w:t>。</w:t>
      </w:r>
    </w:p>
    <w:p w14:paraId="5342C00E" w14:textId="77777777" w:rsidR="001C3D32" w:rsidRDefault="00000000">
      <w:pPr>
        <w:pStyle w:val="a8"/>
        <w:spacing w:beforeLines="50" w:before="156" w:afterLines="50" w:after="156"/>
        <w:jc w:val="center"/>
      </w:pPr>
      <w:r>
        <w:rPr>
          <w:rFonts w:hint="eastAsia"/>
          <w:noProof/>
        </w:rPr>
        <w:drawing>
          <wp:inline distT="0" distB="0" distL="0" distR="0" wp14:anchorId="6A06071D" wp14:editId="044BDD39">
            <wp:extent cx="2217420" cy="2591435"/>
            <wp:effectExtent l="0" t="0" r="0" b="0"/>
            <wp:docPr id="5934048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04824" name="图片 1"/>
                    <pic:cNvPicPr>
                      <a:picLocks noChangeAspect="1"/>
                    </pic:cNvPicPr>
                  </pic:nvPicPr>
                  <pic:blipFill>
                    <a:blip r:embed="rId18" cstate="print">
                      <a:extLst>
                        <a:ext uri="{28A0092B-C50C-407E-A947-70E740481C1C}">
                          <a14:useLocalDpi xmlns:a14="http://schemas.microsoft.com/office/drawing/2010/main" val="0"/>
                        </a:ext>
                      </a:extLst>
                    </a:blip>
                    <a:srcRect t="1683" b="5073"/>
                    <a:stretch>
                      <a:fillRect/>
                    </a:stretch>
                  </pic:blipFill>
                  <pic:spPr>
                    <a:xfrm>
                      <a:off x="0" y="0"/>
                      <a:ext cx="2217600" cy="2592000"/>
                    </a:xfrm>
                    <a:prstGeom prst="rect">
                      <a:avLst/>
                    </a:prstGeom>
                    <a:ln>
                      <a:noFill/>
                    </a:ln>
                  </pic:spPr>
                </pic:pic>
              </a:graphicData>
            </a:graphic>
          </wp:inline>
        </w:drawing>
      </w:r>
    </w:p>
    <w:p w14:paraId="5F6313F2" w14:textId="77777777" w:rsidR="001C3D32" w:rsidRDefault="00000000">
      <w:pPr>
        <w:pStyle w:val="a8"/>
        <w:ind w:firstLine="482"/>
        <w:rPr>
          <w:rStyle w:val="aa"/>
          <w:color w:val="000000" w:themeColor="text1"/>
        </w:rPr>
      </w:pPr>
      <w:r>
        <w:rPr>
          <w:rStyle w:val="aa"/>
          <w:rFonts w:hint="eastAsia"/>
          <w:color w:val="000000" w:themeColor="text1"/>
        </w:rPr>
        <w:t>4.缴费说明</w:t>
      </w:r>
    </w:p>
    <w:p w14:paraId="77011C0E" w14:textId="77777777" w:rsidR="001C3D32" w:rsidRDefault="00000000">
      <w:pPr>
        <w:pStyle w:val="a8"/>
        <w:ind w:firstLine="482"/>
      </w:pPr>
      <w:r>
        <w:rPr>
          <w:rStyle w:val="aa"/>
          <w:rFonts w:hint="eastAsia"/>
          <w:color w:val="EE0000"/>
        </w:rPr>
        <w:t>本微专业收费标准为110元/学分，学费共计1540元（14学分）</w:t>
      </w:r>
      <w:r>
        <w:rPr>
          <w:rStyle w:val="aa"/>
          <w:rFonts w:hint="eastAsia"/>
          <w:color w:val="000000" w:themeColor="text1"/>
        </w:rPr>
        <w:t>。</w:t>
      </w:r>
      <w:r>
        <w:t>学生需</w:t>
      </w:r>
      <w:r>
        <w:rPr>
          <w:rFonts w:hint="eastAsia"/>
        </w:rPr>
        <w:t>在每学期开学初</w:t>
      </w:r>
      <w:r>
        <w:t>一次性缴清</w:t>
      </w:r>
      <w:r>
        <w:rPr>
          <w:rFonts w:hint="eastAsia"/>
        </w:rPr>
        <w:t>当前学期学费，具体缴费方式于录取后另行通知</w:t>
      </w:r>
      <w:r>
        <w:t>。</w:t>
      </w:r>
    </w:p>
    <w:p w14:paraId="009E2992" w14:textId="77777777" w:rsidR="001C3D32" w:rsidRDefault="00000000">
      <w:pPr>
        <w:pStyle w:val="a8"/>
        <w:ind w:firstLine="482"/>
      </w:pPr>
      <w:r>
        <w:rPr>
          <w:rStyle w:val="aa"/>
          <w:rFonts w:hint="eastAsia"/>
          <w:color w:val="000000" w:themeColor="text1"/>
        </w:rPr>
        <w:t>5.</w:t>
      </w:r>
      <w:r>
        <w:rPr>
          <w:rStyle w:val="aa"/>
          <w:color w:val="000000" w:themeColor="text1"/>
        </w:rPr>
        <w:t>上课时间</w:t>
      </w:r>
    </w:p>
    <w:p w14:paraId="4EAD697B" w14:textId="77777777" w:rsidR="001C3D32" w:rsidRDefault="00000000">
      <w:pPr>
        <w:pStyle w:val="a8"/>
      </w:pPr>
      <w:r>
        <w:t>初步安排在</w:t>
      </w:r>
      <w:r>
        <w:rPr>
          <w:rFonts w:hint="eastAsia"/>
        </w:rPr>
        <w:t>晚上时间</w:t>
      </w:r>
      <w:r>
        <w:t>、周六或周日，具体时间另行通知。</w:t>
      </w:r>
    </w:p>
    <w:p w14:paraId="6DB46A4D" w14:textId="77777777" w:rsidR="001C3D32" w:rsidRDefault="00000000">
      <w:pPr>
        <w:spacing w:line="360" w:lineRule="auto"/>
        <w:ind w:firstLineChars="200" w:firstLine="562"/>
        <w:rPr>
          <w:rFonts w:cs="仿宋_GB2312"/>
          <w:b/>
          <w:bCs/>
          <w:sz w:val="28"/>
        </w:rPr>
      </w:pPr>
      <w:r>
        <w:rPr>
          <w:rFonts w:ascii="宋体" w:eastAsia="宋体" w:hAnsi="宋体" w:cs="仿宋_GB2312" w:hint="eastAsia"/>
          <w:b/>
          <w:bCs/>
          <w:sz w:val="28"/>
          <w:szCs w:val="24"/>
        </w:rPr>
        <w:t>三、其他说明</w:t>
      </w:r>
    </w:p>
    <w:p w14:paraId="3D5EF061" w14:textId="77777777" w:rsidR="001C3D32" w:rsidRDefault="00000000">
      <w:pPr>
        <w:pStyle w:val="a8"/>
      </w:pPr>
      <w:r>
        <w:rPr>
          <w:rFonts w:hint="eastAsia"/>
        </w:rPr>
        <w:t>1.微专业课程考核不合格的学生，可以参加补考，补考不及格可申请重修。微专业课程不纳入主修平均学分绩点计算，不影响评奖评优和主修专业的毕业资格。</w:t>
      </w:r>
    </w:p>
    <w:p w14:paraId="7E387BFF" w14:textId="77777777" w:rsidR="001C3D32" w:rsidRDefault="00000000">
      <w:pPr>
        <w:pStyle w:val="a8"/>
      </w:pPr>
      <w:r>
        <w:rPr>
          <w:rFonts w:hint="eastAsia"/>
        </w:rPr>
        <w:lastRenderedPageBreak/>
        <w:t>2.因学业情况变化等，学生可向开设学院提出退出申请，经开设学院审核同意后正式退出微专业。学生在主修专业修读结束时，微专业学籍自动终止。</w:t>
      </w:r>
    </w:p>
    <w:p w14:paraId="57F9DFC5" w14:textId="77777777" w:rsidR="001C3D32" w:rsidRDefault="00000000">
      <w:pPr>
        <w:pStyle w:val="a8"/>
        <w:rPr>
          <w:b/>
        </w:rPr>
      </w:pPr>
      <w:r>
        <w:rPr>
          <w:rFonts w:hint="eastAsia"/>
        </w:rPr>
        <w:t>3.学生按照微专业培养方案，修读完成所有课程，经学院审核后，报教务处审定，发放学校制作的微专业成绩单和证书。</w:t>
      </w:r>
      <w:r>
        <w:rPr>
          <w:rFonts w:hint="eastAsia"/>
          <w:b/>
          <w:color w:val="EE0000"/>
        </w:rPr>
        <w:t>微专业证书为非学历证书。</w:t>
      </w:r>
    </w:p>
    <w:p w14:paraId="280A6568" w14:textId="77777777" w:rsidR="001C3D32" w:rsidRDefault="00000000">
      <w:pPr>
        <w:pStyle w:val="a8"/>
      </w:pPr>
      <w:r>
        <w:rPr>
          <w:rFonts w:hint="eastAsia"/>
        </w:rPr>
        <w:t>4.所有修读取得的微专业学分可以申请认定为通识教育选修课非限选模块学分。微专业课程学习完毕后统一申请认定，参照课程修读认定程序。</w:t>
      </w:r>
    </w:p>
    <w:p w14:paraId="31E0FC48" w14:textId="77777777" w:rsidR="001C3D32" w:rsidRDefault="001C3D32">
      <w:pPr>
        <w:pStyle w:val="a8"/>
      </w:pPr>
    </w:p>
    <w:p w14:paraId="1F3B2429" w14:textId="77777777" w:rsidR="001C3D32" w:rsidRDefault="00000000">
      <w:pPr>
        <w:spacing w:line="360" w:lineRule="auto"/>
        <w:ind w:firstLine="480"/>
        <w:rPr>
          <w:rFonts w:ascii="宋体" w:eastAsia="宋体" w:hAnsi="宋体" w:cs="宋体"/>
          <w:kern w:val="0"/>
          <w:sz w:val="24"/>
          <w:szCs w:val="24"/>
        </w:rPr>
      </w:pPr>
      <w:r>
        <w:rPr>
          <w:rFonts w:ascii="宋体" w:eastAsia="宋体" w:hAnsi="宋体" w:cs="宋体" w:hint="eastAsia"/>
          <w:kern w:val="0"/>
          <w:sz w:val="24"/>
          <w:szCs w:val="24"/>
        </w:rPr>
        <w:t>附件：“氟新材料设计与应用”微专业课程教学大纲</w:t>
      </w:r>
    </w:p>
    <w:p w14:paraId="3AE6EFBE" w14:textId="77777777" w:rsidR="001C3D32" w:rsidRDefault="001C3D32">
      <w:pPr>
        <w:spacing w:line="360" w:lineRule="auto"/>
        <w:rPr>
          <w:rFonts w:ascii="宋体" w:eastAsia="宋体" w:hAnsi="宋体" w:cs="宋体"/>
          <w:kern w:val="0"/>
          <w:sz w:val="24"/>
          <w:szCs w:val="24"/>
        </w:rPr>
      </w:pPr>
    </w:p>
    <w:p w14:paraId="4888245D" w14:textId="77777777" w:rsidR="001C3D32" w:rsidRDefault="00000000">
      <w:pPr>
        <w:wordWrap w:val="0"/>
        <w:spacing w:line="360" w:lineRule="auto"/>
        <w:jc w:val="right"/>
        <w:rPr>
          <w:rFonts w:ascii="宋体" w:eastAsia="宋体" w:hAnsi="宋体" w:cs="宋体"/>
          <w:kern w:val="0"/>
          <w:sz w:val="24"/>
          <w:szCs w:val="24"/>
        </w:rPr>
      </w:pPr>
      <w:r>
        <w:rPr>
          <w:rFonts w:ascii="宋体" w:eastAsia="宋体" w:hAnsi="宋体" w:cs="宋体" w:hint="eastAsia"/>
          <w:kern w:val="0"/>
          <w:sz w:val="24"/>
          <w:szCs w:val="24"/>
        </w:rPr>
        <w:t xml:space="preserve">资源与化工学院     </w:t>
      </w:r>
    </w:p>
    <w:p w14:paraId="29E7E38C" w14:textId="77777777" w:rsidR="001C3D32" w:rsidRDefault="00000000">
      <w:pPr>
        <w:wordWrap w:val="0"/>
        <w:spacing w:line="360" w:lineRule="auto"/>
        <w:jc w:val="right"/>
        <w:rPr>
          <w:rFonts w:ascii="宋体" w:eastAsia="宋体" w:hAnsi="宋体" w:cs="宋体"/>
          <w:kern w:val="0"/>
          <w:sz w:val="24"/>
          <w:szCs w:val="24"/>
        </w:rPr>
      </w:pPr>
      <w:r>
        <w:rPr>
          <w:rFonts w:ascii="宋体" w:eastAsia="宋体" w:hAnsi="宋体" w:cs="宋体" w:hint="eastAsia"/>
          <w:kern w:val="0"/>
          <w:sz w:val="24"/>
          <w:szCs w:val="24"/>
        </w:rPr>
        <w:t xml:space="preserve">2026年6月3日   </w:t>
      </w:r>
    </w:p>
    <w:sectPr w:rsidR="001C3D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0A416" w14:textId="77777777" w:rsidR="00321CD4" w:rsidRDefault="00321CD4" w:rsidP="00BD264F">
      <w:r>
        <w:separator/>
      </w:r>
    </w:p>
  </w:endnote>
  <w:endnote w:type="continuationSeparator" w:id="0">
    <w:p w14:paraId="0F5FBD1F" w14:textId="77777777" w:rsidR="00321CD4" w:rsidRDefault="00321CD4" w:rsidP="00BD2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宋体"/>
    <w:charset w:val="86"/>
    <w:family w:val="roma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EB57B" w14:textId="77777777" w:rsidR="00321CD4" w:rsidRDefault="00321CD4" w:rsidP="00BD264F">
      <w:r>
        <w:separator/>
      </w:r>
    </w:p>
  </w:footnote>
  <w:footnote w:type="continuationSeparator" w:id="0">
    <w:p w14:paraId="5C80644F" w14:textId="77777777" w:rsidR="00321CD4" w:rsidRDefault="00321CD4" w:rsidP="00BD26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RiMTBjYWY0ZmM1MjM5MGJmNDQ2NzA4ODgxMDVlODEifQ=="/>
  </w:docVars>
  <w:rsids>
    <w:rsidRoot w:val="00CF6817"/>
    <w:rsid w:val="0001044A"/>
    <w:rsid w:val="000F77ED"/>
    <w:rsid w:val="00182F16"/>
    <w:rsid w:val="00187446"/>
    <w:rsid w:val="0019329A"/>
    <w:rsid w:val="001C3D32"/>
    <w:rsid w:val="001F4BED"/>
    <w:rsid w:val="00201D1A"/>
    <w:rsid w:val="00215E00"/>
    <w:rsid w:val="00232567"/>
    <w:rsid w:val="002C3B0A"/>
    <w:rsid w:val="002F52D4"/>
    <w:rsid w:val="00321CD4"/>
    <w:rsid w:val="0033331C"/>
    <w:rsid w:val="003374A9"/>
    <w:rsid w:val="003867CF"/>
    <w:rsid w:val="003F1CAE"/>
    <w:rsid w:val="004140D6"/>
    <w:rsid w:val="0043384E"/>
    <w:rsid w:val="0043626E"/>
    <w:rsid w:val="00446919"/>
    <w:rsid w:val="00473FD4"/>
    <w:rsid w:val="004A0868"/>
    <w:rsid w:val="004D4862"/>
    <w:rsid w:val="00505939"/>
    <w:rsid w:val="00525F8F"/>
    <w:rsid w:val="00562757"/>
    <w:rsid w:val="0056300E"/>
    <w:rsid w:val="00567A4E"/>
    <w:rsid w:val="00575AFE"/>
    <w:rsid w:val="005A709B"/>
    <w:rsid w:val="005E3735"/>
    <w:rsid w:val="005F5063"/>
    <w:rsid w:val="00621544"/>
    <w:rsid w:val="006423A6"/>
    <w:rsid w:val="00664A0F"/>
    <w:rsid w:val="0068525C"/>
    <w:rsid w:val="006D1C0E"/>
    <w:rsid w:val="0071358E"/>
    <w:rsid w:val="00752D5F"/>
    <w:rsid w:val="00763175"/>
    <w:rsid w:val="007B7038"/>
    <w:rsid w:val="007C29CD"/>
    <w:rsid w:val="007D00FE"/>
    <w:rsid w:val="00823349"/>
    <w:rsid w:val="00875409"/>
    <w:rsid w:val="00883678"/>
    <w:rsid w:val="00886C17"/>
    <w:rsid w:val="00A52ABF"/>
    <w:rsid w:val="00A72C1E"/>
    <w:rsid w:val="00A73D7C"/>
    <w:rsid w:val="00AC2121"/>
    <w:rsid w:val="00AC59C2"/>
    <w:rsid w:val="00AD3989"/>
    <w:rsid w:val="00AD59EA"/>
    <w:rsid w:val="00AF3F32"/>
    <w:rsid w:val="00B57CCF"/>
    <w:rsid w:val="00B646F1"/>
    <w:rsid w:val="00B80930"/>
    <w:rsid w:val="00B82BA3"/>
    <w:rsid w:val="00BD264F"/>
    <w:rsid w:val="00C123E3"/>
    <w:rsid w:val="00CB484F"/>
    <w:rsid w:val="00CF6817"/>
    <w:rsid w:val="00D24C21"/>
    <w:rsid w:val="00D31830"/>
    <w:rsid w:val="00D45C04"/>
    <w:rsid w:val="00DE2BF0"/>
    <w:rsid w:val="00E05882"/>
    <w:rsid w:val="00E12A20"/>
    <w:rsid w:val="00E223FF"/>
    <w:rsid w:val="00EB170F"/>
    <w:rsid w:val="00EF4DFE"/>
    <w:rsid w:val="00F25C00"/>
    <w:rsid w:val="00F76150"/>
    <w:rsid w:val="00F80623"/>
    <w:rsid w:val="00FE34E4"/>
    <w:rsid w:val="00FF58C2"/>
    <w:rsid w:val="0150509E"/>
    <w:rsid w:val="024E6EEE"/>
    <w:rsid w:val="02553298"/>
    <w:rsid w:val="048735A5"/>
    <w:rsid w:val="04F33D9E"/>
    <w:rsid w:val="059A7C54"/>
    <w:rsid w:val="07802D78"/>
    <w:rsid w:val="08A83897"/>
    <w:rsid w:val="09410809"/>
    <w:rsid w:val="09620489"/>
    <w:rsid w:val="0CFD335B"/>
    <w:rsid w:val="0CFF0F1B"/>
    <w:rsid w:val="0D013FCF"/>
    <w:rsid w:val="0E947D89"/>
    <w:rsid w:val="117006C4"/>
    <w:rsid w:val="12A61E39"/>
    <w:rsid w:val="13E6391C"/>
    <w:rsid w:val="1B2D30F7"/>
    <w:rsid w:val="1C947772"/>
    <w:rsid w:val="1ED146E2"/>
    <w:rsid w:val="1F5A427E"/>
    <w:rsid w:val="24AD35A9"/>
    <w:rsid w:val="28A013AD"/>
    <w:rsid w:val="29D84AA2"/>
    <w:rsid w:val="2B700489"/>
    <w:rsid w:val="2CC0257A"/>
    <w:rsid w:val="2D616C31"/>
    <w:rsid w:val="2E4763AB"/>
    <w:rsid w:val="30E12562"/>
    <w:rsid w:val="33527747"/>
    <w:rsid w:val="3589578A"/>
    <w:rsid w:val="36D44917"/>
    <w:rsid w:val="37F06360"/>
    <w:rsid w:val="3B02475F"/>
    <w:rsid w:val="3BAE5737"/>
    <w:rsid w:val="3E443D99"/>
    <w:rsid w:val="3E9B4FD9"/>
    <w:rsid w:val="419C0133"/>
    <w:rsid w:val="41A54E48"/>
    <w:rsid w:val="43D45F57"/>
    <w:rsid w:val="45C0779E"/>
    <w:rsid w:val="46622961"/>
    <w:rsid w:val="47C00CCC"/>
    <w:rsid w:val="48166B3E"/>
    <w:rsid w:val="4AB20DC6"/>
    <w:rsid w:val="51A60F7E"/>
    <w:rsid w:val="52826EB7"/>
    <w:rsid w:val="54EB3100"/>
    <w:rsid w:val="5B1769FD"/>
    <w:rsid w:val="5C683A4F"/>
    <w:rsid w:val="5CE41B1C"/>
    <w:rsid w:val="5CED3EB9"/>
    <w:rsid w:val="646D06DF"/>
    <w:rsid w:val="66E53E53"/>
    <w:rsid w:val="678216A2"/>
    <w:rsid w:val="6AF64881"/>
    <w:rsid w:val="6B6C4586"/>
    <w:rsid w:val="6BC71525"/>
    <w:rsid w:val="6F892CC7"/>
    <w:rsid w:val="6FEC6252"/>
    <w:rsid w:val="70C808F6"/>
    <w:rsid w:val="73B74C77"/>
    <w:rsid w:val="73F912DD"/>
    <w:rsid w:val="742308C1"/>
    <w:rsid w:val="743D2927"/>
    <w:rsid w:val="75AB702B"/>
    <w:rsid w:val="773C7ABF"/>
    <w:rsid w:val="79046420"/>
    <w:rsid w:val="79BA6FC3"/>
    <w:rsid w:val="7B78070C"/>
    <w:rsid w:val="7C802133"/>
    <w:rsid w:val="7E696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C08DC2"/>
  <w15:docId w15:val="{3BC634A2-C5BA-49B6-BBC1-FC68892D7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uiPriority w:val="99"/>
    <w:semiHidden/>
    <w:unhideWhenUsed/>
    <w:qFormat/>
    <w:pPr>
      <w:jc w:val="left"/>
    </w:pPr>
  </w:style>
  <w:style w:type="paragraph" w:styleId="a4">
    <w:name w:val="footer"/>
    <w:basedOn w:val="a"/>
    <w:link w:val="a5"/>
    <w:autoRedefine/>
    <w:uiPriority w:val="99"/>
    <w:unhideWhenUsed/>
    <w:qFormat/>
    <w:pPr>
      <w:tabs>
        <w:tab w:val="center" w:pos="4153"/>
        <w:tab w:val="right" w:pos="8306"/>
      </w:tabs>
      <w:snapToGrid w:val="0"/>
      <w:jc w:val="left"/>
    </w:pPr>
    <w:rPr>
      <w:sz w:val="18"/>
      <w:szCs w:val="18"/>
    </w:rPr>
  </w:style>
  <w:style w:type="paragraph" w:styleId="a6">
    <w:name w:val="header"/>
    <w:basedOn w:val="a"/>
    <w:link w:val="a7"/>
    <w:autoRedefine/>
    <w:uiPriority w:val="99"/>
    <w:unhideWhenUsed/>
    <w:qFormat/>
    <w:pPr>
      <w:tabs>
        <w:tab w:val="center" w:pos="4153"/>
        <w:tab w:val="right" w:pos="8306"/>
      </w:tabs>
      <w:snapToGrid w:val="0"/>
      <w:jc w:val="center"/>
    </w:pPr>
    <w:rPr>
      <w:sz w:val="18"/>
      <w:szCs w:val="18"/>
    </w:rPr>
  </w:style>
  <w:style w:type="paragraph" w:styleId="a8">
    <w:name w:val="Normal (Web)"/>
    <w:basedOn w:val="a"/>
    <w:autoRedefine/>
    <w:uiPriority w:val="99"/>
    <w:unhideWhenUsed/>
    <w:qFormat/>
    <w:pPr>
      <w:widowControl/>
      <w:spacing w:line="360" w:lineRule="auto"/>
      <w:ind w:firstLineChars="200" w:firstLine="480"/>
      <w:jc w:val="left"/>
    </w:pPr>
    <w:rPr>
      <w:rFonts w:ascii="宋体" w:eastAsia="宋体" w:hAnsi="宋体" w:cs="宋体"/>
      <w:bCs/>
      <w:kern w:val="0"/>
      <w:sz w:val="24"/>
      <w:szCs w:val="24"/>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autoRedefine/>
    <w:uiPriority w:val="22"/>
    <w:qFormat/>
    <w:rPr>
      <w:b/>
      <w:bCs/>
    </w:rPr>
  </w:style>
  <w:style w:type="character" w:styleId="ab">
    <w:name w:val="annotation reference"/>
    <w:basedOn w:val="a0"/>
    <w:autoRedefine/>
    <w:uiPriority w:val="99"/>
    <w:semiHidden/>
    <w:unhideWhenUsed/>
    <w:qFormat/>
    <w:rPr>
      <w:sz w:val="21"/>
      <w:szCs w:val="21"/>
    </w:rPr>
  </w:style>
  <w:style w:type="character" w:customStyle="1" w:styleId="a7">
    <w:name w:val="页眉 字符"/>
    <w:basedOn w:val="a0"/>
    <w:link w:val="a6"/>
    <w:autoRedefine/>
    <w:uiPriority w:val="99"/>
    <w:qFormat/>
    <w:rPr>
      <w:sz w:val="18"/>
      <w:szCs w:val="18"/>
    </w:rPr>
  </w:style>
  <w:style w:type="character" w:customStyle="1" w:styleId="a5">
    <w:name w:val="页脚 字符"/>
    <w:basedOn w:val="a0"/>
    <w:link w:val="a4"/>
    <w:autoRedefine/>
    <w:uiPriority w:val="99"/>
    <w:qFormat/>
    <w:rPr>
      <w:sz w:val="18"/>
      <w:szCs w:val="18"/>
    </w:rPr>
  </w:style>
  <w:style w:type="paragraph" w:styleId="ac">
    <w:name w:val="List Paragraph"/>
    <w:basedOn w:val="a"/>
    <w:autoRedefine/>
    <w:uiPriority w:val="34"/>
    <w:qFormat/>
    <w:pPr>
      <w:spacing w:afterLines="50" w:after="156" w:line="360" w:lineRule="auto"/>
      <w:ind w:firstLineChars="200" w:firstLine="480"/>
    </w:pPr>
    <w:rPr>
      <w:rFonts w:ascii="宋体" w:eastAsia="宋体" w:hAnsi="宋体" w:cs="仿宋_GB2312"/>
      <w:sz w:val="24"/>
      <w:szCs w:val="24"/>
    </w:rPr>
  </w:style>
  <w:style w:type="paragraph" w:customStyle="1" w:styleId="1">
    <w:name w:val="修订1"/>
    <w:autoRedefine/>
    <w:hidden/>
    <w:uiPriority w:val="99"/>
    <w:unhideWhenUsed/>
    <w:rPr>
      <w:kern w:val="2"/>
      <w:sz w:val="21"/>
      <w:szCs w:val="22"/>
    </w:rPr>
  </w:style>
  <w:style w:type="paragraph" w:customStyle="1" w:styleId="2">
    <w:name w:val="修订2"/>
    <w:hidden/>
    <w:uiPriority w:val="99"/>
    <w:unhideWhenUsed/>
    <w:qFormat/>
    <w:rPr>
      <w:kern w:val="2"/>
      <w:sz w:val="21"/>
      <w:szCs w:val="22"/>
    </w:rPr>
  </w:style>
  <w:style w:type="paragraph" w:customStyle="1" w:styleId="3">
    <w:name w:val="修订3"/>
    <w:hidden/>
    <w:uiPriority w:val="99"/>
    <w:unhideWhenUsed/>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5f37bafc-c01a-4c23-940c-86d01819f50a</errorID>
      <errorWord>双碳</errorWord>
      <group>L1_Political</group>
      <groupName>政治性问题</groupName>
      <ability>L2_Keyword</ability>
      <abilityName>固定表述</abilityName>
      <candidateList>
        <item>“双碳”</item>
      </candidateList>
      <explain>注意检查当前固定表述标点是否使用规范。</explain>
      <paraID>68FBEDA6</paraID>
      <start>31</start>
      <end>33</end>
      <status>unmodified</status>
      <modifiedWord/>
      <trackRevisions>false</trackRevisions>
    </reviewItem>
    <reviewItem>
      <errorID>41e5609f-c33c-4cb7-80d6-cb59f7916d75</errorID>
      <errorWord>现代能源产业体系</errorWord>
      <group>L1_Political</group>
      <groupName>政治性问题</groupName>
      <ability>L2_Keyword</ability>
      <abilityName>固定表述</abilityName>
      <candidateList>
        <item>现代化产业体系</item>
      </candidateList>
      <explain>词汇“现代化产业体系”在特定场景下为固定表述形式，请确认此处的“现代能源产业体系”是否存在不当。</explain>
      <paraID>68FBEDA6</paraID>
      <start>60</start>
      <end>68</end>
      <status>ignored</status>
      <modifiedWord/>
      <trackRevisions>false</trackRevisions>
    </reviewItem>
    <reviewItem>
      <errorID>c2095fd5-5308-4138-bf76-cf6ef812b065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71666E22</paraID>
      <start>18</start>
      <end>20</end>
      <status>modified</status>
      <modifiedWord>》《</modifiedWord>
      <trackRevisions>false</trackRevisions>
    </reviewItem>
    <reviewItem>
      <errorID>fce4b871-ad5d-4473-901e-4b17e47fd636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71666E22</paraID>
      <start>29</start>
      <end>31</end>
      <status>modified</status>
      <modifiedWord>》《</modifiedWord>
      <trackRevisions>false</trackRevisions>
    </reviewItem>
    <reviewItem>
      <errorID>54b1923a-ae6e-469d-976b-6fa9c27410b3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71666E22</paraID>
      <start>45</start>
      <end>47</end>
      <status>modified</status>
      <modifiedWord>》《</modifiedWord>
      <trackRevisions>false</trackRevisions>
    </reviewItem>
    <reviewItem>
      <errorID>ddb32efe-4eff-41b0-8b2d-cde50d0d90b2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71666E22</paraID>
      <start>55</start>
      <end>57</end>
      <status>modified</status>
      <modifiedWord>》《</modifiedWord>
      <trackRevisions>false</trackRevisions>
    </reviewItem>
    <reviewItem>
      <errorID>84925b9c-2bc6-4678-8320-49a6bd73330d</errorID>
      <errorWord>三农</errorWord>
      <group>L1_Political</group>
      <groupName>政治性问题</groupName>
      <ability>L2_Keyword</ability>
      <abilityName>固定表述</abilityName>
      <candidateList>
        <item>“三农”</item>
      </candidateList>
      <explain>注意检查当前固定表述标点是否使用规范。</explain>
      <paraID>5A365654</paraID>
      <start>43</start>
      <end>45</end>
      <status>ignored</status>
      <modifiedWord/>
      <trackRevisions>false</trackRevisions>
    </reviewItem>
    <reviewItem>
      <errorID>de84c940-46af-46b8-90f9-f43a9b05baea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1D1DD93D</paraID>
      <start>0</start>
      <end>2</end>
      <status>modified</status>
      <modifiedWord>1.</modifiedWord>
      <trackRevisions>false</trackRevisions>
    </reviewItem>
    <reviewItem>
      <errorID>39c78f37-aba4-45ca-884b-41fcb8ddd671</errorID>
      <errorWord>(</errorWord>
      <group>L1_Format</group>
      <groupName>格式问题</groupName>
      <ability>L2_HalfPunc_CN</ability>
      <abilityName>全半角问题</abilityName>
      <candidateList>
        <item>（</item>
      </candidateList>
      <explain>文本全半角错误。</explain>
      <paraID>1D23C5BD</paraID>
      <start>25</start>
      <end>26</end>
      <status>modified</status>
      <modifiedWord>（</modifiedWord>
      <trackRevisions>false</trackRevisions>
    </reviewItem>
    <reviewItem>
      <errorID>9382dc03-a21a-47e9-99a3-786fc2b6bfc5</errorID>
      <errorWord>)</errorWord>
      <group>L1_Format</group>
      <groupName>格式问题</groupName>
      <ability>L2_HalfPunc_CN</ability>
      <abilityName>全半角问题</abilityName>
      <candidateList>
        <item>）</item>
      </candidateList>
      <explain>文本全半角错误。</explain>
      <paraID>1D23C5BD</paraID>
      <start>32</start>
      <end>33</end>
      <status>modified</status>
      <modifiedWord>）</modifiedWord>
      <trackRevisions>false</trackRevisions>
    </reviewItem>
    <reviewItem>
      <errorID>9efd8b88-105d-40c0-9925-1d8e8706eb15</errorID>
      <errorWord>2026年6月03日</errorWord>
      <group>L1_Knowledge</group>
      <groupName>知识性问题</groupName>
      <ability>L2_Time</ability>
      <abilityName>日期时间</abilityName>
      <candidateList>
        <item>2026年6月3日</item>
      </candidateList>
      <explain>根据日常书写习惯，日期一般会省略前导零。</explain>
      <paraID>29E7E38C</paraID>
      <start>0</start>
      <end>9</end>
      <status>modified</status>
      <modifiedWord>2026年6月3日</modifiedWord>
      <trackRevisions>false</trackRevisions>
    </reviewItem>
  </reviewItems>
  <config/>
</contractReview>
</file>

<file path=customXml/itemProps1.xml><?xml version="1.0" encoding="utf-8"?>
<ds:datastoreItem xmlns:ds="http://schemas.openxmlformats.org/officeDocument/2006/customXml" ds:itemID="{3F8DF5EE-7298-44EC-909E-161D165839C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5</Pages>
  <Words>1258</Words>
  <Characters>1347</Characters>
  <Application>Microsoft Office Word</Application>
  <DocSecurity>0</DocSecurity>
  <Lines>192</Lines>
  <Paragraphs>137</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 chen</dc:creator>
  <cp:lastModifiedBy>tian.minquan@gmail.com</cp:lastModifiedBy>
  <cp:revision>160</cp:revision>
  <cp:lastPrinted>2024-03-12T07:28:00Z</cp:lastPrinted>
  <dcterms:created xsi:type="dcterms:W3CDTF">2024-03-24T01:23:00Z</dcterms:created>
  <dcterms:modified xsi:type="dcterms:W3CDTF">2026-06-12T09:17:00Z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47AB9F78384D414D9D0877848B419621_13</vt:lpwstr>
  </property>
  <property fmtid="{D5CDD505-2E9C-101B-9397-08002B2CF9AE}" pid="4" name="KSOTemplateDocerSaveRecord">
    <vt:lpwstr>eyJoZGlkIjoiZDFiM2JlYjYyZDFkMTQ0MWIyODQ1OTYwYTJhMzUwMjgiLCJ1c2VySWQiOiIxNDEyOTE3MjgzIn0=</vt:lpwstr>
  </property>
</Properties>
</file>