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ascii="宋体" w:hAnsi="宋体" w:eastAsia="宋体" w:cs="宋体"/>
          <w:b/>
          <w:bCs/>
          <w:sz w:val="36"/>
          <w:szCs w:val="36"/>
          <w:lang w:eastAsia="zh-CN"/>
        </w:rPr>
        <w:t>三明学院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 xml:space="preserve"> </w:t>
      </w:r>
      <w:r>
        <w:rPr>
          <w:rFonts w:ascii="宋体" w:hAnsi="宋体" w:eastAsia="宋体" w:cs="宋体"/>
          <w:b/>
          <w:bCs/>
          <w:sz w:val="32"/>
          <w:szCs w:val="32"/>
          <w:u w:val="single"/>
          <w:lang w:eastAsia="zh-CN"/>
        </w:rPr>
        <w:t>财务管理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eastAsia="zh-CN"/>
        </w:rPr>
        <w:t>（闽台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专业(理论</w:t>
      </w:r>
      <w:r>
        <w:rPr>
          <w:rFonts w:ascii="宋体" w:hAnsi="宋体" w:eastAsia="宋体" w:cs="宋体"/>
          <w:b/>
          <w:bCs/>
          <w:sz w:val="36"/>
          <w:szCs w:val="36"/>
          <w:lang w:eastAsia="zh-CN"/>
        </w:rPr>
        <w:t>课程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)教学</w:t>
      </w:r>
      <w:r>
        <w:rPr>
          <w:rFonts w:ascii="宋体" w:hAnsi="宋体" w:eastAsia="宋体" w:cs="宋体"/>
          <w:b/>
          <w:bCs/>
          <w:sz w:val="36"/>
          <w:szCs w:val="36"/>
          <w:lang w:eastAsia="zh-CN"/>
        </w:rPr>
        <w:t>大纲</w:t>
      </w:r>
    </w:p>
    <w:tbl>
      <w:tblPr>
        <w:tblStyle w:val="7"/>
        <w:tblW w:w="923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569"/>
        <w:gridCol w:w="749"/>
        <w:gridCol w:w="1225"/>
        <w:gridCol w:w="1134"/>
        <w:gridCol w:w="77"/>
        <w:gridCol w:w="1223"/>
        <w:gridCol w:w="91"/>
        <w:gridCol w:w="884"/>
        <w:gridCol w:w="418"/>
        <w:gridCol w:w="432"/>
        <w:gridCol w:w="11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spacing w:before="70"/>
              <w:ind w:left="100" w:right="93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课程名称</w:t>
            </w:r>
          </w:p>
        </w:tc>
        <w:tc>
          <w:tcPr>
            <w:tcW w:w="3754" w:type="dxa"/>
            <w:gridSpan w:val="5"/>
            <w:vAlign w:val="center"/>
          </w:tcPr>
          <w:p>
            <w:pPr>
              <w:pStyle w:val="9"/>
              <w:spacing w:before="70"/>
              <w:ind w:left="100" w:right="93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国际金融</w:t>
            </w:r>
          </w:p>
        </w:tc>
        <w:tc>
          <w:tcPr>
            <w:tcW w:w="2616" w:type="dxa"/>
            <w:gridSpan w:val="4"/>
            <w:vAlign w:val="center"/>
          </w:tcPr>
          <w:p>
            <w:pPr>
              <w:pStyle w:val="9"/>
              <w:spacing w:before="7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代码</w:t>
            </w:r>
          </w:p>
        </w:tc>
        <w:tc>
          <w:tcPr>
            <w:tcW w:w="1560" w:type="dxa"/>
            <w:gridSpan w:val="2"/>
          </w:tcPr>
          <w:p>
            <w:pPr>
              <w:pStyle w:val="9"/>
              <w:spacing w:before="70"/>
              <w:ind w:left="193" w:right="186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146567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spacing w:before="70"/>
              <w:ind w:left="100" w:right="93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课程类型</w:t>
            </w:r>
          </w:p>
        </w:tc>
        <w:tc>
          <w:tcPr>
            <w:tcW w:w="3754" w:type="dxa"/>
            <w:gridSpan w:val="5"/>
          </w:tcPr>
          <w:p>
            <w:pPr>
              <w:pStyle w:val="9"/>
              <w:numPr>
                <w:ilvl w:val="0"/>
                <w:numId w:val="1"/>
              </w:numPr>
              <w:tabs>
                <w:tab w:val="left" w:pos="401"/>
              </w:tabs>
              <w:spacing w:before="70"/>
              <w:ind w:hanging="187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通识课</w:t>
            </w:r>
            <w:r>
              <w:rPr>
                <w:rFonts w:ascii="Wingdings 2" w:hAnsi="Wingdings 2" w:eastAsia="Wingdings 2"/>
                <w:sz w:val="21"/>
                <w:lang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学科平台和专业核心课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401"/>
              </w:tabs>
              <w:spacing w:before="70"/>
              <w:ind w:hanging="187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专业方向</w:t>
            </w:r>
            <w:r>
              <w:rPr>
                <w:rFonts w:ascii="Wingdings 2" w:hAnsi="Wingdings 2" w:eastAsia="Wingdings 2"/>
                <w:sz w:val="21"/>
                <w:lang w:eastAsia="zh-CN"/>
              </w:rPr>
              <w:t>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专业任选</w:t>
            </w:r>
            <w:r>
              <w:rPr>
                <w:rFonts w:ascii="Wingdings 2" w:hAnsi="Wingdings 2" w:eastAsia="Wingdings 2"/>
                <w:sz w:val="21"/>
                <w:lang w:eastAsia="zh-CN"/>
              </w:rPr>
              <w:t>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其他</w:t>
            </w:r>
          </w:p>
        </w:tc>
        <w:tc>
          <w:tcPr>
            <w:tcW w:w="2616" w:type="dxa"/>
            <w:gridSpan w:val="4"/>
            <w:vAlign w:val="center"/>
          </w:tcPr>
          <w:p>
            <w:pPr>
              <w:pStyle w:val="9"/>
              <w:spacing w:before="70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授课教师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70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张静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spacing w:before="72"/>
              <w:ind w:left="100" w:right="93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修读方式</w:t>
            </w:r>
          </w:p>
        </w:tc>
        <w:tc>
          <w:tcPr>
            <w:tcW w:w="3754" w:type="dxa"/>
            <w:gridSpan w:val="5"/>
            <w:vAlign w:val="center"/>
          </w:tcPr>
          <w:p>
            <w:pPr>
              <w:pStyle w:val="9"/>
              <w:tabs>
                <w:tab w:val="left" w:pos="424"/>
              </w:tabs>
              <w:spacing w:before="72"/>
              <w:ind w:left="220" w:firstLine="420" w:firstLineChars="200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Wingdings 2" w:hAnsi="Wingdings 2" w:eastAsia="Wingdings 2"/>
                <w:sz w:val="21"/>
                <w:lang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必修</w:t>
            </w:r>
            <w:r>
              <w:rPr>
                <w:rFonts w:ascii="Wingdings 2" w:hAnsi="Wingdings 2" w:eastAsia="Wingdings 2"/>
                <w:sz w:val="21"/>
              </w:rPr>
              <w:t>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选修</w:t>
            </w:r>
          </w:p>
        </w:tc>
        <w:tc>
          <w:tcPr>
            <w:tcW w:w="2616" w:type="dxa"/>
            <w:gridSpan w:val="4"/>
            <w:vAlign w:val="center"/>
          </w:tcPr>
          <w:p>
            <w:pPr>
              <w:pStyle w:val="9"/>
              <w:spacing w:before="72"/>
              <w:ind w:left="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    分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72"/>
              <w:ind w:left="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spacing w:before="72"/>
              <w:ind w:left="100" w:right="93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开课学期</w:t>
            </w:r>
          </w:p>
        </w:tc>
        <w:tc>
          <w:tcPr>
            <w:tcW w:w="1318" w:type="dxa"/>
            <w:gridSpan w:val="2"/>
            <w:vAlign w:val="center"/>
          </w:tcPr>
          <w:p>
            <w:pPr>
              <w:pStyle w:val="9"/>
              <w:spacing w:before="72"/>
              <w:ind w:left="10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25" w:type="dxa"/>
            <w:vAlign w:val="center"/>
          </w:tcPr>
          <w:p>
            <w:pPr>
              <w:pStyle w:val="9"/>
              <w:spacing w:before="7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总学时</w:t>
            </w:r>
          </w:p>
        </w:tc>
        <w:tc>
          <w:tcPr>
            <w:tcW w:w="1211" w:type="dxa"/>
            <w:gridSpan w:val="2"/>
            <w:vAlign w:val="center"/>
          </w:tcPr>
          <w:p>
            <w:pPr>
              <w:pStyle w:val="9"/>
              <w:spacing w:before="72"/>
              <w:ind w:left="194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2616" w:type="dxa"/>
            <w:gridSpan w:val="4"/>
            <w:vAlign w:val="center"/>
          </w:tcPr>
          <w:p>
            <w:pPr>
              <w:pStyle w:val="9"/>
              <w:spacing w:before="7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其中实践学时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72"/>
              <w:ind w:left="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spacing w:before="72"/>
              <w:ind w:left="100" w:right="93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混合式</w:t>
            </w:r>
          </w:p>
          <w:p>
            <w:pPr>
              <w:pStyle w:val="9"/>
              <w:spacing w:before="72"/>
              <w:ind w:left="100" w:right="93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课程网址</w:t>
            </w:r>
          </w:p>
        </w:tc>
        <w:tc>
          <w:tcPr>
            <w:tcW w:w="7930" w:type="dxa"/>
            <w:gridSpan w:val="11"/>
            <w:vAlign w:val="center"/>
          </w:tcPr>
          <w:p>
            <w:pPr>
              <w:pStyle w:val="9"/>
              <w:spacing w:before="72"/>
              <w:ind w:left="9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ind w:left="8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  <w:lang w:eastAsia="zh-CN"/>
              </w:rPr>
              <w:t>A</w:t>
            </w:r>
          </w:p>
          <w:p>
            <w:pPr>
              <w:pStyle w:val="9"/>
              <w:spacing w:before="43"/>
              <w:ind w:left="104" w:right="93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先修及后续</w:t>
            </w:r>
          </w:p>
          <w:p>
            <w:pPr>
              <w:pStyle w:val="9"/>
              <w:spacing w:before="43"/>
              <w:ind w:left="104" w:right="93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课程</w:t>
            </w:r>
          </w:p>
        </w:tc>
        <w:tc>
          <w:tcPr>
            <w:tcW w:w="7930" w:type="dxa"/>
            <w:gridSpan w:val="11"/>
            <w:vAlign w:val="center"/>
          </w:tcPr>
          <w:p>
            <w:pPr>
              <w:pStyle w:val="9"/>
              <w:spacing w:before="93" w:line="312" w:lineRule="auto"/>
              <w:ind w:right="166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先修课程主要有：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微观经济学，宏观经济学，金融学概论，金融市场学</w:t>
            </w:r>
          </w:p>
          <w:p>
            <w:pPr>
              <w:pStyle w:val="9"/>
              <w:spacing w:before="93" w:line="312" w:lineRule="auto"/>
              <w:ind w:right="166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后续课程主要有：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跨国公司财务管理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 w:hRule="atLeast"/>
          <w:jc w:val="center"/>
        </w:trPr>
        <w:tc>
          <w:tcPr>
            <w:tcW w:w="1301" w:type="dxa"/>
            <w:tcBorders>
              <w:bottom w:val="single" w:color="auto" w:sz="4" w:space="0"/>
            </w:tcBorders>
            <w:vAlign w:val="center"/>
          </w:tcPr>
          <w:p>
            <w:pPr>
              <w:pStyle w:val="9"/>
              <w:ind w:left="8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  <w:lang w:eastAsia="zh-CN"/>
              </w:rPr>
              <w:t>B</w:t>
            </w:r>
          </w:p>
          <w:p>
            <w:pPr>
              <w:pStyle w:val="9"/>
              <w:spacing w:before="43"/>
              <w:ind w:right="93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课程描述</w:t>
            </w:r>
          </w:p>
        </w:tc>
        <w:tc>
          <w:tcPr>
            <w:tcW w:w="7930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pStyle w:val="9"/>
              <w:spacing w:line="312" w:lineRule="auto"/>
              <w:ind w:right="-29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9"/>
              <w:spacing w:line="312" w:lineRule="auto"/>
              <w:ind w:right="-29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本课程是财务管理专业的专业必修课程。通过本课程的学习，可以使学生明确国际金融学科的研究对象、牢固掌握国际金融的最基本概念、初步了解国际金融的基本业务，为学好其他国际经济方面的业务课程打下坚实的基础。学习国际金融课程也可以更好地完善学生的知识结构、开阔视野、提高学生从事宏观经济工作的综合素质。</w:t>
            </w:r>
          </w:p>
          <w:p>
            <w:pPr>
              <w:pStyle w:val="9"/>
              <w:spacing w:line="312" w:lineRule="auto"/>
              <w:ind w:right="-29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0" w:hRule="atLeast"/>
          <w:jc w:val="center"/>
        </w:trPr>
        <w:tc>
          <w:tcPr>
            <w:tcW w:w="13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"/>
              <w:ind w:left="8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1"/>
                <w:szCs w:val="21"/>
                <w:lang w:eastAsia="zh-CN"/>
              </w:rPr>
              <w:t>C</w:t>
            </w:r>
          </w:p>
          <w:p>
            <w:pPr>
              <w:pStyle w:val="9"/>
              <w:spacing w:before="43"/>
              <w:ind w:right="7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课程目标</w:t>
            </w:r>
          </w:p>
        </w:tc>
        <w:tc>
          <w:tcPr>
            <w:tcW w:w="7930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"/>
              <w:spacing w:before="142"/>
              <w:ind w:left="35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（一）知识</w:t>
            </w:r>
          </w:p>
          <w:p>
            <w:pPr>
              <w:pStyle w:val="9"/>
              <w:spacing w:before="93" w:line="312" w:lineRule="auto"/>
              <w:ind w:left="894" w:right="166" w:hanging="240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1.理解国际金融的基本概念、基本理论、基本方法和基本操作技能</w:t>
            </w:r>
          </w:p>
          <w:p>
            <w:pPr>
              <w:pStyle w:val="9"/>
              <w:spacing w:line="307" w:lineRule="exact"/>
              <w:ind w:left="659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2.掌握国际收支的分析方法、外汇交易、金融衍生交易的操作方法</w:t>
            </w:r>
          </w:p>
          <w:p>
            <w:pPr>
              <w:pStyle w:val="9"/>
              <w:spacing w:before="124"/>
              <w:ind w:left="35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（二）能力</w:t>
            </w:r>
          </w:p>
          <w:p>
            <w:pPr>
              <w:pStyle w:val="9"/>
              <w:spacing w:before="93" w:line="312" w:lineRule="auto"/>
              <w:ind w:left="894" w:right="166" w:hanging="24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3.分析和观察国内、国际发生的国际金融问题的能力，以及综合应用国际金融理论解决国际金融实际问题的能力</w:t>
            </w:r>
          </w:p>
          <w:p>
            <w:pPr>
              <w:pStyle w:val="9"/>
              <w:spacing w:before="94"/>
              <w:ind w:left="659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4.利用各类金融工具进行投资投机、风险处置、交易结算的能力</w:t>
            </w:r>
          </w:p>
          <w:p>
            <w:pPr>
              <w:pStyle w:val="9"/>
              <w:spacing w:before="94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（三）素养</w:t>
            </w:r>
          </w:p>
          <w:p>
            <w:pPr>
              <w:pStyle w:val="9"/>
              <w:spacing w:before="93" w:line="312" w:lineRule="auto"/>
              <w:ind w:left="894" w:right="166" w:hanging="240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5.重视职业道德培养，养成学生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认真、细致、严谨、规范的职业素养</w:t>
            </w:r>
          </w:p>
          <w:p>
            <w:pPr>
              <w:pStyle w:val="9"/>
              <w:spacing w:before="93" w:line="312" w:lineRule="auto"/>
              <w:ind w:left="894" w:right="166" w:hanging="240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6.培养学生的社会主义核心价值观，提高学生的爱国信念和社会责任感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9"/>
              <w:jc w:val="center"/>
              <w:rPr>
                <w:rFonts w:ascii="宋体"/>
                <w:b/>
                <w:w w:val="98"/>
                <w:sz w:val="21"/>
                <w:lang w:eastAsia="zh-CN"/>
              </w:rPr>
            </w:pPr>
            <w:r>
              <w:rPr>
                <w:rFonts w:ascii="宋体"/>
                <w:b/>
                <w:w w:val="98"/>
                <w:sz w:val="21"/>
                <w:lang w:eastAsia="zh-CN"/>
              </w:rPr>
              <w:t>D</w:t>
            </w:r>
          </w:p>
          <w:p>
            <w:pPr>
              <w:pStyle w:val="9"/>
              <w:jc w:val="center"/>
              <w:rPr>
                <w:rFonts w:ascii="宋体" w:eastAsia="宋体"/>
                <w:b/>
                <w:sz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课程目标与</w:t>
            </w:r>
          </w:p>
          <w:p>
            <w:pPr>
              <w:pStyle w:val="9"/>
              <w:jc w:val="center"/>
              <w:rPr>
                <w:rFonts w:ascii="宋体" w:eastAsia="宋体"/>
                <w:b/>
                <w:sz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毕业要求的</w:t>
            </w:r>
          </w:p>
          <w:p>
            <w:pPr>
              <w:pStyle w:val="9"/>
              <w:spacing w:before="43"/>
              <w:ind w:right="7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对应关系</w:t>
            </w:r>
          </w:p>
        </w:tc>
        <w:tc>
          <w:tcPr>
            <w:tcW w:w="2543" w:type="dxa"/>
            <w:gridSpan w:val="3"/>
            <w:vAlign w:val="center"/>
          </w:tcPr>
          <w:p>
            <w:pPr>
              <w:pStyle w:val="9"/>
              <w:spacing w:before="86"/>
              <w:ind w:left="114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毕业要求</w:t>
            </w:r>
          </w:p>
        </w:tc>
        <w:tc>
          <w:tcPr>
            <w:tcW w:w="2525" w:type="dxa"/>
            <w:gridSpan w:val="4"/>
            <w:vAlign w:val="center"/>
          </w:tcPr>
          <w:p>
            <w:pPr>
              <w:pStyle w:val="9"/>
              <w:spacing w:before="86"/>
              <w:ind w:left="115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毕业要求指标点</w:t>
            </w:r>
          </w:p>
        </w:tc>
        <w:tc>
          <w:tcPr>
            <w:tcW w:w="2862" w:type="dxa"/>
            <w:gridSpan w:val="4"/>
            <w:vAlign w:val="center"/>
          </w:tcPr>
          <w:p>
            <w:pPr>
              <w:pStyle w:val="9"/>
              <w:spacing w:before="86"/>
              <w:ind w:left="96" w:right="67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43"/>
              <w:ind w:right="7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2543" w:type="dxa"/>
            <w:gridSpan w:val="3"/>
            <w:vAlign w:val="top"/>
          </w:tcPr>
          <w:p>
            <w:pPr>
              <w:pStyle w:val="9"/>
              <w:spacing w:before="125" w:line="312" w:lineRule="auto"/>
              <w:ind w:right="23" w:rightChars="0"/>
              <w:rPr>
                <w:rFonts w:ascii="宋体" w:hAnsi="仿宋" w:eastAsia="宋体" w:cs="仿宋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1素质要求</w:t>
            </w:r>
          </w:p>
        </w:tc>
        <w:tc>
          <w:tcPr>
            <w:tcW w:w="2525" w:type="dxa"/>
            <w:gridSpan w:val="4"/>
            <w:vAlign w:val="top"/>
          </w:tcPr>
          <w:p>
            <w:pPr>
              <w:pStyle w:val="9"/>
              <w:spacing w:before="125" w:line="312" w:lineRule="auto"/>
              <w:ind w:right="23" w:rightChars="0"/>
              <w:rPr>
                <w:rFonts w:ascii="宋体" w:hAnsi="仿宋" w:eastAsia="宋体" w:cs="仿宋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1</w:t>
            </w:r>
            <w:r>
              <w:rPr>
                <w:rFonts w:ascii="宋体" w:eastAsia="宋体"/>
                <w:sz w:val="21"/>
                <w:lang w:eastAsia="zh-CN"/>
              </w:rPr>
              <w:t>-2</w:t>
            </w:r>
            <w:r>
              <w:rPr>
                <w:rFonts w:hint="eastAsia" w:ascii="宋体" w:eastAsia="宋体"/>
                <w:sz w:val="21"/>
                <w:lang w:eastAsia="zh-CN"/>
              </w:rPr>
              <w:t>专业素质</w:t>
            </w:r>
          </w:p>
        </w:tc>
        <w:tc>
          <w:tcPr>
            <w:tcW w:w="2862" w:type="dxa"/>
            <w:gridSpan w:val="4"/>
            <w:vAlign w:val="top"/>
          </w:tcPr>
          <w:p>
            <w:pPr>
              <w:pStyle w:val="9"/>
              <w:spacing w:before="125" w:line="312" w:lineRule="auto"/>
              <w:ind w:right="23" w:rightChars="0"/>
              <w:rPr>
                <w:rFonts w:ascii="宋体" w:hAnsi="仿宋" w:eastAsia="宋体" w:cs="仿宋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课程目标</w:t>
            </w:r>
            <w:r>
              <w:rPr>
                <w:rFonts w:ascii="宋体" w:eastAsia="宋体"/>
                <w:sz w:val="21"/>
                <w:lang w:eastAsia="zh-CN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43"/>
              <w:ind w:right="7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2543" w:type="dxa"/>
            <w:gridSpan w:val="3"/>
            <w:vAlign w:val="center"/>
          </w:tcPr>
          <w:p>
            <w:pPr>
              <w:rPr>
                <w:rFonts w:ascii="宋体" w:hAnsi="仿宋" w:eastAsia="宋体" w:cs="仿宋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2知识要求</w:t>
            </w:r>
          </w:p>
        </w:tc>
        <w:tc>
          <w:tcPr>
            <w:tcW w:w="2525" w:type="dxa"/>
            <w:gridSpan w:val="4"/>
            <w:vAlign w:val="center"/>
          </w:tcPr>
          <w:p>
            <w:pPr>
              <w:rPr>
                <w:rFonts w:ascii="宋体" w:hAnsi="仿宋" w:eastAsia="宋体" w:cs="仿宋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2-2专业性知识</w:t>
            </w:r>
          </w:p>
        </w:tc>
        <w:tc>
          <w:tcPr>
            <w:tcW w:w="2862" w:type="dxa"/>
            <w:gridSpan w:val="4"/>
            <w:vAlign w:val="center"/>
          </w:tcPr>
          <w:p>
            <w:pPr>
              <w:rPr>
                <w:rFonts w:ascii="宋体" w:hAnsi="仿宋" w:eastAsia="宋体" w:cs="仿宋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课程目标1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43"/>
              <w:ind w:right="7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2543" w:type="dxa"/>
            <w:gridSpan w:val="3"/>
            <w:vAlign w:val="center"/>
          </w:tcPr>
          <w:p>
            <w:pPr>
              <w:rPr>
                <w:rFonts w:ascii="宋体" w:hAnsi="仿宋" w:eastAsia="宋体" w:cs="仿宋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3能力要求</w:t>
            </w:r>
          </w:p>
        </w:tc>
        <w:tc>
          <w:tcPr>
            <w:tcW w:w="2525" w:type="dxa"/>
            <w:gridSpan w:val="4"/>
            <w:vAlign w:val="center"/>
          </w:tcPr>
          <w:p>
            <w:pPr>
              <w:rPr>
                <w:rFonts w:ascii="宋体" w:hAnsi="仿宋" w:eastAsia="宋体" w:cs="仿宋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3-</w:t>
            </w:r>
            <w:r>
              <w:rPr>
                <w:rFonts w:ascii="宋体" w:eastAsia="宋体"/>
                <w:sz w:val="21"/>
                <w:lang w:eastAsia="zh-CN"/>
              </w:rPr>
              <w:t>2</w:t>
            </w:r>
            <w:r>
              <w:rPr>
                <w:rFonts w:hint="eastAsia" w:ascii="宋体" w:eastAsia="宋体"/>
                <w:sz w:val="21"/>
                <w:lang w:eastAsia="zh-CN"/>
              </w:rPr>
              <w:t>知识应用能力</w:t>
            </w:r>
          </w:p>
        </w:tc>
        <w:tc>
          <w:tcPr>
            <w:tcW w:w="2862" w:type="dxa"/>
            <w:gridSpan w:val="4"/>
            <w:vAlign w:val="center"/>
          </w:tcPr>
          <w:p>
            <w:pPr>
              <w:rPr>
                <w:rFonts w:ascii="宋体" w:hAnsi="仿宋" w:eastAsia="宋体" w:cs="仿宋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课程目标</w:t>
            </w:r>
            <w:r>
              <w:rPr>
                <w:rFonts w:ascii="宋体" w:eastAsia="宋体"/>
                <w:sz w:val="21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9"/>
              <w:spacing w:before="152"/>
              <w:ind w:left="8"/>
              <w:jc w:val="center"/>
              <w:rPr>
                <w:rFonts w:ascii="宋体"/>
                <w:b/>
                <w:sz w:val="21"/>
                <w:lang w:eastAsia="zh-CN"/>
              </w:rPr>
            </w:pPr>
            <w:r>
              <w:rPr>
                <w:rFonts w:ascii="宋体"/>
                <w:b/>
                <w:w w:val="98"/>
                <w:sz w:val="21"/>
                <w:lang w:eastAsia="zh-CN"/>
              </w:rPr>
              <w:t>E</w:t>
            </w:r>
          </w:p>
          <w:p>
            <w:pPr>
              <w:pStyle w:val="9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教学内容</w:t>
            </w:r>
          </w:p>
        </w:tc>
        <w:tc>
          <w:tcPr>
            <w:tcW w:w="5068" w:type="dxa"/>
            <w:gridSpan w:val="7"/>
            <w:vMerge w:val="restart"/>
            <w:vAlign w:val="center"/>
          </w:tcPr>
          <w:p>
            <w:pPr>
              <w:pStyle w:val="9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章节内容</w:t>
            </w:r>
          </w:p>
        </w:tc>
        <w:tc>
          <w:tcPr>
            <w:tcW w:w="2862" w:type="dxa"/>
            <w:gridSpan w:val="4"/>
            <w:vAlign w:val="center"/>
          </w:tcPr>
          <w:p>
            <w:pPr>
              <w:pStyle w:val="9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bCs/>
                <w:sz w:val="21"/>
                <w:lang w:eastAsia="zh-CN"/>
              </w:rPr>
              <w:t>学时分配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9"/>
              <w:spacing w:before="125" w:line="312" w:lineRule="auto"/>
              <w:ind w:right="23"/>
              <w:jc w:val="center"/>
              <w:rPr>
                <w:lang w:eastAsia="zh-CN"/>
              </w:rPr>
            </w:pPr>
          </w:p>
        </w:tc>
        <w:tc>
          <w:tcPr>
            <w:tcW w:w="5068" w:type="dxa"/>
            <w:gridSpan w:val="7"/>
            <w:vMerge w:val="continue"/>
            <w:vAlign w:val="center"/>
          </w:tcPr>
          <w:p>
            <w:pPr>
              <w:pStyle w:val="9"/>
              <w:spacing w:before="125" w:line="312" w:lineRule="auto"/>
              <w:ind w:right="23"/>
              <w:jc w:val="center"/>
              <w:rPr>
                <w:lang w:eastAsia="zh-CN"/>
              </w:rPr>
            </w:pPr>
          </w:p>
        </w:tc>
        <w:tc>
          <w:tcPr>
            <w:tcW w:w="884" w:type="dxa"/>
            <w:vAlign w:val="center"/>
          </w:tcPr>
          <w:p>
            <w:pPr>
              <w:pStyle w:val="9"/>
              <w:spacing w:before="44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bCs/>
                <w:sz w:val="21"/>
                <w:lang w:eastAsia="zh-CN"/>
              </w:rPr>
              <w:t>理论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pStyle w:val="9"/>
              <w:spacing w:before="44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bCs/>
                <w:sz w:val="21"/>
                <w:lang w:eastAsia="zh-CN"/>
              </w:rPr>
              <w:t>实践</w:t>
            </w:r>
          </w:p>
        </w:tc>
        <w:tc>
          <w:tcPr>
            <w:tcW w:w="1128" w:type="dxa"/>
            <w:vAlign w:val="center"/>
          </w:tcPr>
          <w:p>
            <w:pPr>
              <w:pStyle w:val="9"/>
              <w:spacing w:before="44"/>
              <w:ind w:right="89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bCs/>
                <w:sz w:val="21"/>
                <w:lang w:eastAsia="zh-CN"/>
              </w:rPr>
              <w:t>合计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lang w:eastAsia="zh-CN"/>
              </w:rPr>
            </w:pPr>
          </w:p>
        </w:tc>
        <w:tc>
          <w:tcPr>
            <w:tcW w:w="5068" w:type="dxa"/>
            <w:gridSpan w:val="7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导论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章  国际收支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8" w:type="dxa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68" w:type="dxa"/>
            <w:gridSpan w:val="7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章  外汇与外汇汇率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8" w:type="dxa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68" w:type="dxa"/>
            <w:gridSpan w:val="7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章  外汇市场业务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8" w:type="dxa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68" w:type="dxa"/>
            <w:gridSpan w:val="7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章  金融衍生工具业务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8" w:type="dxa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68" w:type="dxa"/>
            <w:gridSpan w:val="7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章  汇率制度与外汇管制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8" w:type="dxa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68" w:type="dxa"/>
            <w:gridSpan w:val="7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章  国际储备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8" w:type="dxa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68" w:type="dxa"/>
            <w:gridSpan w:val="7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章  国际金融市场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8" w:type="dxa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68" w:type="dxa"/>
            <w:gridSpan w:val="7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章  国际资本流动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8" w:type="dxa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68" w:type="dxa"/>
            <w:gridSpan w:val="7"/>
            <w:vAlign w:val="center"/>
          </w:tcPr>
          <w:p>
            <w:pPr>
              <w:pStyle w:val="3"/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合计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8" w:type="dxa"/>
            <w:vAlign w:val="center"/>
          </w:tcPr>
          <w:p>
            <w:pPr>
              <w:widowControl/>
              <w:ind w:right="-426" w:rightChars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1" w:hRule="exac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jc w:val="center"/>
              <w:rPr>
                <w:rFonts w:ascii="宋体"/>
                <w:b/>
                <w:sz w:val="21"/>
                <w:lang w:eastAsia="zh-CN"/>
              </w:rPr>
            </w:pPr>
            <w:r>
              <w:rPr>
                <w:rFonts w:ascii="宋体"/>
                <w:b/>
                <w:w w:val="98"/>
                <w:sz w:val="21"/>
                <w:lang w:eastAsia="zh-CN"/>
              </w:rPr>
              <w:t>F</w:t>
            </w:r>
          </w:p>
          <w:p>
            <w:pPr>
              <w:pStyle w:val="9"/>
              <w:spacing w:before="43"/>
              <w:ind w:left="104" w:right="93"/>
              <w:jc w:val="center"/>
              <w:rPr>
                <w:rFonts w:ascii="宋体" w:eastAsia="宋体"/>
                <w:b/>
                <w:sz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教学方式</w:t>
            </w:r>
          </w:p>
        </w:tc>
        <w:tc>
          <w:tcPr>
            <w:tcW w:w="7930" w:type="dxa"/>
            <w:gridSpan w:val="11"/>
            <w:vAlign w:val="center"/>
          </w:tcPr>
          <w:p>
            <w:pPr>
              <w:pStyle w:val="9"/>
              <w:tabs>
                <w:tab w:val="left" w:pos="1614"/>
                <w:tab w:val="left" w:pos="3145"/>
                <w:tab w:val="left" w:pos="5039"/>
              </w:tabs>
              <w:spacing w:before="183"/>
              <w:ind w:left="201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Wingdings 2" w:hAnsi="Wingdings 2" w:eastAsia="Wingdings 2"/>
                <w:sz w:val="21"/>
                <w:lang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课堂讲授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讨论座谈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Wingdings 2" w:hAnsi="Wingdings 2" w:eastAsia="Wingdings 2"/>
                <w:sz w:val="21"/>
                <w:lang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问题导向学习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分组合作学习</w:t>
            </w:r>
          </w:p>
          <w:p>
            <w:pPr>
              <w:pStyle w:val="9"/>
              <w:tabs>
                <w:tab w:val="left" w:pos="1614"/>
                <w:tab w:val="left" w:pos="3145"/>
                <w:tab w:val="left" w:pos="5039"/>
              </w:tabs>
              <w:spacing w:before="52"/>
              <w:ind w:left="201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专题学习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实作学习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探究式学习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线上线下混合式学习</w:t>
            </w:r>
          </w:p>
          <w:p>
            <w:pPr>
              <w:pStyle w:val="9"/>
              <w:tabs>
                <w:tab w:val="left" w:pos="417"/>
                <w:tab w:val="left" w:pos="2754"/>
              </w:tabs>
              <w:spacing w:before="53"/>
              <w:ind w:firstLine="210" w:firstLineChars="100"/>
              <w:jc w:val="both"/>
              <w:rPr>
                <w:rFonts w:ascii="Times New Roman" w:eastAsia="Times New Roman"/>
                <w:sz w:val="24"/>
                <w:lang w:eastAsia="zh-CN"/>
              </w:rPr>
            </w:pPr>
            <w:r>
              <w:rPr>
                <w:rFonts w:ascii="Wingdings 2" w:hAnsi="Wingdings 2" w:eastAsia="Wingdings 2"/>
                <w:sz w:val="21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其他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jc w:val="center"/>
              <w:rPr>
                <w:rFonts w:ascii="宋体" w:eastAsia="宋体"/>
                <w:b/>
                <w:sz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G</w:t>
            </w:r>
          </w:p>
          <w:p>
            <w:pPr>
              <w:pStyle w:val="9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教学安排</w:t>
            </w:r>
          </w:p>
        </w:tc>
        <w:tc>
          <w:tcPr>
            <w:tcW w:w="5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授课次别</w:t>
            </w:r>
          </w:p>
        </w:tc>
        <w:tc>
          <w:tcPr>
            <w:tcW w:w="197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教学内容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支撑课程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目标</w:t>
            </w:r>
          </w:p>
        </w:tc>
        <w:tc>
          <w:tcPr>
            <w:tcW w:w="2693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课程思政融入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教学方式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与手段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</w:pPr>
          </w:p>
        </w:tc>
        <w:tc>
          <w:tcPr>
            <w:tcW w:w="569" w:type="dxa"/>
            <w:vMerge w:val="continue"/>
          </w:tcPr>
          <w:p>
            <w:pPr>
              <w:pStyle w:val="9"/>
              <w:spacing w:before="125" w:line="312" w:lineRule="auto"/>
              <w:ind w:right="23"/>
            </w:pPr>
          </w:p>
        </w:tc>
        <w:tc>
          <w:tcPr>
            <w:tcW w:w="1974" w:type="dxa"/>
            <w:gridSpan w:val="2"/>
            <w:vMerge w:val="continue"/>
          </w:tcPr>
          <w:p>
            <w:pPr>
              <w:pStyle w:val="9"/>
              <w:spacing w:before="125" w:line="312" w:lineRule="auto"/>
              <w:ind w:right="23"/>
            </w:pPr>
          </w:p>
        </w:tc>
        <w:tc>
          <w:tcPr>
            <w:tcW w:w="1134" w:type="dxa"/>
            <w:vMerge w:val="continue"/>
          </w:tcPr>
          <w:p>
            <w:pPr>
              <w:pStyle w:val="9"/>
              <w:spacing w:before="125" w:line="312" w:lineRule="auto"/>
              <w:ind w:right="23"/>
            </w:pPr>
          </w:p>
        </w:tc>
        <w:tc>
          <w:tcPr>
            <w:tcW w:w="130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思政元素</w:t>
            </w:r>
          </w:p>
        </w:tc>
        <w:tc>
          <w:tcPr>
            <w:tcW w:w="1393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思政目标</w:t>
            </w:r>
          </w:p>
        </w:tc>
        <w:tc>
          <w:tcPr>
            <w:tcW w:w="1560" w:type="dxa"/>
            <w:gridSpan w:val="2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8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导论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 xml:space="preserve">；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 xml:space="preserve">章 国际收支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第1节 国际收支概述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  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hint="default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  <w:t>1、3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本课程的学习目标及作用</w:t>
            </w:r>
          </w:p>
        </w:tc>
        <w:tc>
          <w:tcPr>
            <w:tcW w:w="1393" w:type="dxa"/>
            <w:gridSpan w:val="3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激发学习兴趣，培养</w:t>
            </w:r>
            <w:r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社会责任感</w:t>
            </w: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及</w:t>
            </w:r>
            <w:r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职业道德素质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课堂讲授</w:t>
            </w:r>
          </w:p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问题导向学习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1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 xml:space="preserve">1章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国际收支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</w:rPr>
              <w:t>第2节 国际收支平衡表的编制和分析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hint="default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  <w:t>1、2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393" w:type="dxa"/>
            <w:gridSpan w:val="3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课堂讲授</w:t>
            </w:r>
          </w:p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问题导向学习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6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 xml:space="preserve">1章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国际收支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3节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国际收支的失衡与调节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widowControl/>
              <w:spacing w:line="456" w:lineRule="auto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hint="default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  <w:t>1、2、3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分析我国国际收支结构，强调政府货币当局在失衡的调节及稳定经济中的作用</w:t>
            </w:r>
          </w:p>
        </w:tc>
        <w:tc>
          <w:tcPr>
            <w:tcW w:w="1393" w:type="dxa"/>
            <w:gridSpan w:val="3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培养社会主义核心价值观，提高爱国信念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课堂讲授</w:t>
            </w:r>
          </w:p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问题导向学习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 xml:space="preserve">1章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国际收支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4节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国际收支理论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393" w:type="dxa"/>
            <w:gridSpan w:val="3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课堂讲授</w:t>
            </w:r>
          </w:p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问题导向学习</w:t>
            </w:r>
          </w:p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3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章 外汇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与外汇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汇率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第1节 外汇与汇率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  <w:t>1、2、3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393" w:type="dxa"/>
            <w:gridSpan w:val="3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课堂讲授</w:t>
            </w:r>
          </w:p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问题导向学习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>第2章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外汇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与外汇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汇率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第2节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汇率的决定与变动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  <w:t>1、3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393" w:type="dxa"/>
            <w:gridSpan w:val="3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课堂讲授</w:t>
            </w:r>
          </w:p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问题导向学习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2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外汇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与外汇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汇率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18"/>
                <w:szCs w:val="18"/>
                <w:lang w:val="en-US" w:eastAsia="zh-CN" w:bidi="ar-SA"/>
              </w:rPr>
              <w:t>第3节 影响汇率变动的因素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  <w:t>1、2、3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分析我国影响汇率变动的因素，强调货币当局在汇率管理及稳定、调节、发展经济方面的作用</w:t>
            </w:r>
          </w:p>
        </w:tc>
        <w:tc>
          <w:tcPr>
            <w:tcW w:w="1393" w:type="dxa"/>
            <w:gridSpan w:val="3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培养社会主义核心价值观，提高爱国信念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课堂讲授</w:t>
            </w:r>
          </w:p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问题导向学习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0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 xml:space="preserve">3章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外汇市场业务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节 外汇市场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  <w:lang w:val="en-US" w:eastAsia="zh-CN"/>
              </w:rPr>
              <w:t xml:space="preserve">  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cs w:val="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节 即期及远期交易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hint="default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  <w:t>1、2、3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pStyle w:val="9"/>
              <w:spacing w:before="125"/>
              <w:ind w:right="23" w:rightChars="0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外汇交易的操作方法及准则</w:t>
            </w:r>
          </w:p>
        </w:tc>
        <w:tc>
          <w:tcPr>
            <w:tcW w:w="1393" w:type="dxa"/>
            <w:gridSpan w:val="3"/>
            <w:vAlign w:val="center"/>
          </w:tcPr>
          <w:p>
            <w:pPr>
              <w:pStyle w:val="9"/>
              <w:spacing w:before="125"/>
              <w:ind w:right="23" w:rightChars="0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养成学生认真、细致、严谨、规范的职业素养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课堂讲授</w:t>
            </w:r>
          </w:p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问题导向学习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1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外汇市场业务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cs w:val="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节 套利和套汇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  <w:t>1、2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393" w:type="dxa"/>
            <w:gridSpan w:val="3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课堂讲授</w:t>
            </w:r>
          </w:p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问题导向学习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外汇市场业务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仿宋" w:cs="Arial"/>
                <w:b w:val="0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节 掉期和择期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 xml:space="preserve">   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  <w:t>1、2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393" w:type="dxa"/>
            <w:gridSpan w:val="3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课堂讲授</w:t>
            </w:r>
          </w:p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问题导向学习</w:t>
            </w:r>
          </w:p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5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金融衍生工具业务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b/>
                <w:kern w:val="2"/>
                <w:sz w:val="18"/>
                <w:szCs w:val="18"/>
                <w:cs w:val="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第1节 期货交易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  <w:t>1、2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pStyle w:val="9"/>
              <w:spacing w:before="125"/>
              <w:ind w:right="23" w:rightChars="0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3" w:type="dxa"/>
            <w:gridSpan w:val="3"/>
            <w:vAlign w:val="center"/>
          </w:tcPr>
          <w:p>
            <w:pPr>
              <w:pStyle w:val="9"/>
              <w:spacing w:before="125"/>
              <w:ind w:right="23" w:rightChars="0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课堂讲授</w:t>
            </w:r>
          </w:p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问题导向学习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1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金融衍生工具业务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cs w:val="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第2节 期权交易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  <w:t>1、2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393" w:type="dxa"/>
            <w:gridSpan w:val="3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课堂讲授</w:t>
            </w:r>
          </w:p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问题导向学习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6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金融衍生工具业务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第3节 互换交易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  <w:t>1、2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393" w:type="dxa"/>
            <w:gridSpan w:val="3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课堂讲授</w:t>
            </w:r>
          </w:p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问题导向学习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2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 xml:space="preserve">5章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</w:rPr>
              <w:t>汇率制度和外汇管制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1节 汇率制度分类与比较 第2节 人民币汇率制度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  <w:t>1、2、3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分析现行人民币汇率制度的优点</w:t>
            </w:r>
          </w:p>
        </w:tc>
        <w:tc>
          <w:tcPr>
            <w:tcW w:w="1393" w:type="dxa"/>
            <w:gridSpan w:val="3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培养社会主义核心价值观，提高爱国信念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课堂讲授</w:t>
            </w:r>
          </w:p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问题导向学习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3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 xml:space="preserve">6章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国际储备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>第1节 国际储备概述  第2节 国际储备的管理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  <w:t>1、2、3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393" w:type="dxa"/>
            <w:gridSpan w:val="3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课堂讲授</w:t>
            </w:r>
          </w:p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问题导向学习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4" w:hRule="exact"/>
          <w:jc w:val="center"/>
        </w:trPr>
        <w:tc>
          <w:tcPr>
            <w:tcW w:w="1301" w:type="dxa"/>
            <w:vMerge w:val="continue"/>
          </w:tcPr>
          <w:p>
            <w:pPr>
              <w:pStyle w:val="9"/>
              <w:spacing w:before="125" w:line="312" w:lineRule="auto"/>
              <w:ind w:right="23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 xml:space="preserve">7章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国际金融市场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lang w:eastAsia="zh-CN"/>
              </w:rPr>
              <w:t>章 国际资本流动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val="en-US" w:eastAsia="zh-CN"/>
              </w:rPr>
              <w:t>1、3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393" w:type="dxa"/>
            <w:gridSpan w:val="3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课堂讲授</w:t>
            </w:r>
          </w:p>
          <w:p>
            <w:pPr>
              <w:pStyle w:val="9"/>
              <w:spacing w:before="125"/>
              <w:ind w:right="23"/>
              <w:jc w:val="both"/>
              <w:rPr>
                <w:rFonts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18"/>
                <w:szCs w:val="18"/>
                <w:lang w:eastAsia="zh-CN"/>
              </w:rPr>
              <w:t>问题导向学习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exac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9"/>
              <w:spacing w:before="1"/>
              <w:ind w:left="8"/>
              <w:jc w:val="center"/>
              <w:rPr>
                <w:rFonts w:ascii="宋体"/>
                <w:b/>
                <w:sz w:val="21"/>
              </w:rPr>
            </w:pPr>
            <w:r>
              <w:rPr>
                <w:rFonts w:ascii="宋体"/>
                <w:b/>
                <w:w w:val="98"/>
                <w:sz w:val="21"/>
              </w:rPr>
              <w:t>H</w:t>
            </w:r>
          </w:p>
          <w:p>
            <w:pPr>
              <w:pStyle w:val="9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评价</w:t>
            </w:r>
            <w:r>
              <w:rPr>
                <w:rFonts w:hint="eastAsia" w:ascii="宋体" w:eastAsia="宋体"/>
                <w:b/>
                <w:sz w:val="21"/>
              </w:rPr>
              <w:t>方式</w:t>
            </w:r>
          </w:p>
        </w:tc>
        <w:tc>
          <w:tcPr>
            <w:tcW w:w="2543" w:type="dxa"/>
            <w:gridSpan w:val="3"/>
            <w:vAlign w:val="center"/>
          </w:tcPr>
          <w:p>
            <w:pPr>
              <w:jc w:val="center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评价项目及配分</w:t>
            </w:r>
          </w:p>
        </w:tc>
        <w:tc>
          <w:tcPr>
            <w:tcW w:w="2434" w:type="dxa"/>
            <w:gridSpan w:val="3"/>
            <w:vAlign w:val="center"/>
          </w:tcPr>
          <w:p>
            <w:pPr>
              <w:jc w:val="center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评价项目说明</w:t>
            </w:r>
          </w:p>
        </w:tc>
        <w:tc>
          <w:tcPr>
            <w:tcW w:w="2953" w:type="dxa"/>
            <w:gridSpan w:val="5"/>
            <w:vAlign w:val="center"/>
          </w:tcPr>
          <w:p>
            <w:pPr>
              <w:jc w:val="center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支撑课程目标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exac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9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543" w:type="dxa"/>
            <w:gridSpan w:val="3"/>
            <w:vAlign w:val="center"/>
          </w:tcPr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平时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30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%）</w:t>
            </w:r>
          </w:p>
        </w:tc>
        <w:tc>
          <w:tcPr>
            <w:tcW w:w="2434" w:type="dxa"/>
            <w:gridSpan w:val="3"/>
            <w:vAlign w:val="center"/>
          </w:tcPr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出勤占比10%+作业占比10%+半期考占比10%</w:t>
            </w:r>
          </w:p>
        </w:tc>
        <w:tc>
          <w:tcPr>
            <w:tcW w:w="2953" w:type="dxa"/>
            <w:gridSpan w:val="5"/>
            <w:vAlign w:val="center"/>
          </w:tcPr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1、2、3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8" w:hRule="exac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9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543" w:type="dxa"/>
            <w:gridSpan w:val="3"/>
            <w:vAlign w:val="center"/>
          </w:tcPr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期末（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70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%）</w:t>
            </w:r>
          </w:p>
        </w:tc>
        <w:tc>
          <w:tcPr>
            <w:tcW w:w="2434" w:type="dxa"/>
            <w:gridSpan w:val="3"/>
            <w:vAlign w:val="center"/>
          </w:tcPr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闭卷，纸笔考试100%</w:t>
            </w:r>
          </w:p>
        </w:tc>
        <w:tc>
          <w:tcPr>
            <w:tcW w:w="2953" w:type="dxa"/>
            <w:gridSpan w:val="5"/>
            <w:vAlign w:val="center"/>
          </w:tcPr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1、2、3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8" w:hRule="exac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spacing w:before="156"/>
              <w:ind w:left="8"/>
              <w:jc w:val="center"/>
              <w:rPr>
                <w:rFonts w:ascii="宋体"/>
                <w:b/>
                <w:sz w:val="21"/>
                <w:lang w:eastAsia="zh-CN"/>
              </w:rPr>
            </w:pPr>
            <w:r>
              <w:rPr>
                <w:rFonts w:ascii="宋体"/>
                <w:b/>
                <w:w w:val="98"/>
                <w:sz w:val="21"/>
                <w:lang w:eastAsia="zh-CN"/>
              </w:rPr>
              <w:t>I</w:t>
            </w:r>
          </w:p>
          <w:p>
            <w:pPr>
              <w:pStyle w:val="9"/>
              <w:spacing w:before="43"/>
              <w:ind w:left="100" w:right="93"/>
              <w:jc w:val="center"/>
              <w:rPr>
                <w:rFonts w:ascii="宋体" w:eastAsia="宋体"/>
                <w:b/>
                <w:sz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建议教材</w:t>
            </w:r>
          </w:p>
          <w:p>
            <w:pPr>
              <w:pStyle w:val="9"/>
              <w:spacing w:before="125" w:line="312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及学习资料</w:t>
            </w:r>
          </w:p>
        </w:tc>
        <w:tc>
          <w:tcPr>
            <w:tcW w:w="7930" w:type="dxa"/>
            <w:gridSpan w:val="11"/>
            <w:vAlign w:val="center"/>
          </w:tcPr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建议教材：《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国际金融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4版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徐荣贞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主编，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中国金融出版社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2022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4版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参考资料：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姜波克,《国际金融新编》（第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），复旦大学出版社，20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月，第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版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陈雨露，《国际金融》（第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），中国人民大学出版社，20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年6月，第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版第3次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[3] 陈雨露，王芳，《国际金融》（第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）学习指导书，中国人民大学出版社，20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年6月，第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版第3次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 w:hRule="exac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spacing w:before="43"/>
              <w:ind w:left="100" w:right="93"/>
              <w:jc w:val="center"/>
              <w:rPr>
                <w:rFonts w:ascii="宋体" w:eastAsia="宋体"/>
                <w:b/>
                <w:sz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J</w:t>
            </w:r>
          </w:p>
          <w:p>
            <w:pPr>
              <w:pStyle w:val="9"/>
              <w:spacing w:before="43"/>
              <w:ind w:left="100" w:right="93"/>
              <w:jc w:val="center"/>
              <w:rPr>
                <w:rFonts w:ascii="宋体" w:eastAsia="宋体"/>
                <w:b/>
                <w:sz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教学条件</w:t>
            </w:r>
          </w:p>
          <w:p>
            <w:pPr>
              <w:pStyle w:val="9"/>
              <w:spacing w:before="43"/>
              <w:ind w:left="100" w:right="93"/>
              <w:jc w:val="center"/>
              <w:rPr>
                <w:rFonts w:ascii="宋体" w:eastAsia="宋体"/>
                <w:b/>
                <w:sz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lang w:eastAsia="zh-CN"/>
              </w:rPr>
              <w:t>需求</w:t>
            </w:r>
          </w:p>
        </w:tc>
        <w:tc>
          <w:tcPr>
            <w:tcW w:w="7930" w:type="dxa"/>
            <w:gridSpan w:val="11"/>
            <w:vAlign w:val="center"/>
          </w:tcPr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黑板、粉笔、多媒体设备（授课用）</w:t>
            </w: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电脑或智能手机（完成作业用）</w:t>
            </w: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网络课程，校图书馆（查找资料用）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1" w:hRule="exact"/>
          <w:jc w:val="center"/>
        </w:trPr>
        <w:tc>
          <w:tcPr>
            <w:tcW w:w="1301" w:type="dxa"/>
            <w:vAlign w:val="center"/>
          </w:tcPr>
          <w:p>
            <w:pPr>
              <w:pStyle w:val="9"/>
              <w:spacing w:before="162"/>
              <w:ind w:left="8"/>
              <w:jc w:val="center"/>
              <w:rPr>
                <w:rFonts w:ascii="宋体"/>
                <w:b/>
                <w:sz w:val="21"/>
              </w:rPr>
            </w:pPr>
            <w:r>
              <w:rPr>
                <w:rFonts w:ascii="宋体"/>
                <w:b/>
                <w:w w:val="98"/>
                <w:sz w:val="21"/>
              </w:rPr>
              <w:t>K</w:t>
            </w:r>
          </w:p>
          <w:p>
            <w:pPr>
              <w:pStyle w:val="9"/>
              <w:spacing w:before="43"/>
              <w:ind w:left="100" w:right="93"/>
              <w:jc w:val="center"/>
              <w:rPr>
                <w:rFonts w:ascii="宋体" w:eastAsia="宋体"/>
                <w:b/>
                <w:sz w:val="21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</w:rPr>
              <w:t>注意事项</w:t>
            </w:r>
          </w:p>
        </w:tc>
        <w:tc>
          <w:tcPr>
            <w:tcW w:w="7930" w:type="dxa"/>
            <w:gridSpan w:val="11"/>
            <w:vAlign w:val="center"/>
          </w:tcPr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1、基础理论较为抽象，应多以案例分析讲解，以利于理解运用</w:t>
            </w: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2、关注相关法律法规的变化，应以正在使用中的规范作为讲授基础</w:t>
            </w: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3、大量的练习有助于课程目标的实现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5" w:hRule="atLeast"/>
          <w:jc w:val="center"/>
        </w:trPr>
        <w:tc>
          <w:tcPr>
            <w:tcW w:w="9231" w:type="dxa"/>
            <w:gridSpan w:val="12"/>
            <w:vAlign w:val="center"/>
          </w:tcPr>
          <w:p>
            <w:pPr>
              <w:pStyle w:val="9"/>
              <w:spacing w:before="65"/>
              <w:ind w:left="107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备注：</w:t>
            </w:r>
          </w:p>
          <w:p>
            <w:pPr>
              <w:pStyle w:val="9"/>
              <w:spacing w:before="1" w:line="280" w:lineRule="auto"/>
              <w:ind w:left="107" w:right="97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1.本课程</w:t>
            </w:r>
            <w:r>
              <w:rPr>
                <w:rFonts w:hint="eastAsia"/>
                <w:sz w:val="21"/>
                <w:szCs w:val="21"/>
                <w:lang w:eastAsia="zh-CN"/>
              </w:rPr>
              <w:t>教学</w:t>
            </w:r>
            <w:r>
              <w:rPr>
                <w:sz w:val="21"/>
                <w:szCs w:val="21"/>
                <w:lang w:eastAsia="zh-CN"/>
              </w:rPr>
              <w:t>大纲F—J 项同一课程不同授课教师应协同讨论研究达成共同核心内涵</w:t>
            </w:r>
            <w:r>
              <w:rPr>
                <w:rFonts w:hint="eastAsia"/>
                <w:sz w:val="21"/>
                <w:szCs w:val="21"/>
                <w:lang w:eastAsia="zh-CN"/>
              </w:rPr>
              <w:t>。经教学工作指导小组审议通过的课程教学大纲不宜自行更改。</w:t>
            </w:r>
          </w:p>
          <w:p>
            <w:pPr>
              <w:pStyle w:val="9"/>
              <w:spacing w:before="65"/>
              <w:ind w:left="107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2</w:t>
            </w:r>
            <w:r>
              <w:rPr>
                <w:sz w:val="21"/>
                <w:szCs w:val="21"/>
                <w:lang w:eastAsia="zh-CN"/>
              </w:rPr>
              <w:t>.评价方式可参</w:t>
            </w:r>
            <w:r>
              <w:rPr>
                <w:rFonts w:hint="eastAsia"/>
                <w:sz w:val="21"/>
                <w:szCs w:val="21"/>
                <w:lang w:eastAsia="zh-CN"/>
              </w:rPr>
              <w:t>考</w:t>
            </w:r>
            <w:r>
              <w:rPr>
                <w:sz w:val="21"/>
                <w:szCs w:val="21"/>
                <w:lang w:eastAsia="zh-CN"/>
              </w:rPr>
              <w:t>下列方式：</w:t>
            </w:r>
          </w:p>
          <w:p>
            <w:pPr>
              <w:pStyle w:val="9"/>
              <w:spacing w:before="65"/>
              <w:ind w:left="107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(1)纸</w:t>
            </w:r>
            <w:r>
              <w:rPr>
                <w:rFonts w:hint="eastAsia"/>
                <w:sz w:val="21"/>
                <w:szCs w:val="21"/>
                <w:lang w:eastAsia="zh-CN"/>
              </w:rPr>
              <w:t>笔考试</w:t>
            </w:r>
            <w:r>
              <w:rPr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sz w:val="21"/>
                <w:szCs w:val="21"/>
                <w:lang w:eastAsia="zh-CN"/>
              </w:rPr>
              <w:t>平时</w:t>
            </w:r>
            <w:r>
              <w:rPr>
                <w:sz w:val="21"/>
                <w:szCs w:val="21"/>
                <w:lang w:eastAsia="zh-CN"/>
              </w:rPr>
              <w:t>小</w:t>
            </w:r>
            <w:r>
              <w:rPr>
                <w:rFonts w:hint="eastAsia"/>
                <w:sz w:val="21"/>
                <w:szCs w:val="21"/>
                <w:lang w:eastAsia="zh-CN"/>
              </w:rPr>
              <w:t>测</w:t>
            </w:r>
            <w:r>
              <w:rPr>
                <w:sz w:val="21"/>
                <w:szCs w:val="21"/>
                <w:lang w:eastAsia="zh-CN"/>
              </w:rPr>
              <w:t>、期中纸</w:t>
            </w:r>
            <w:r>
              <w:rPr>
                <w:rFonts w:hint="eastAsia"/>
                <w:sz w:val="21"/>
                <w:szCs w:val="21"/>
                <w:lang w:eastAsia="zh-CN"/>
              </w:rPr>
              <w:t>笔考试</w:t>
            </w:r>
            <w:r>
              <w:rPr>
                <w:sz w:val="21"/>
                <w:szCs w:val="21"/>
                <w:lang w:eastAsia="zh-CN"/>
              </w:rPr>
              <w:t>、期末纸</w:t>
            </w:r>
            <w:r>
              <w:rPr>
                <w:rFonts w:hint="eastAsia"/>
                <w:sz w:val="21"/>
                <w:szCs w:val="21"/>
                <w:lang w:eastAsia="zh-CN"/>
              </w:rPr>
              <w:t>笔考试</w:t>
            </w:r>
          </w:p>
          <w:p>
            <w:pPr>
              <w:pStyle w:val="9"/>
              <w:spacing w:before="65"/>
              <w:ind w:left="107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(2)实作评</w:t>
            </w:r>
            <w:r>
              <w:rPr>
                <w:rFonts w:hint="eastAsia"/>
                <w:sz w:val="21"/>
                <w:szCs w:val="21"/>
                <w:lang w:eastAsia="zh-CN"/>
              </w:rPr>
              <w:t>价</w:t>
            </w:r>
            <w:r>
              <w:rPr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sz w:val="21"/>
                <w:szCs w:val="21"/>
                <w:lang w:eastAsia="zh-CN"/>
              </w:rPr>
              <w:t>课程</w:t>
            </w:r>
            <w:r>
              <w:rPr>
                <w:sz w:val="21"/>
                <w:szCs w:val="21"/>
                <w:lang w:eastAsia="zh-CN"/>
              </w:rPr>
              <w:t>作业、实作</w:t>
            </w:r>
            <w:r>
              <w:rPr>
                <w:rFonts w:hint="eastAsia"/>
                <w:sz w:val="21"/>
                <w:szCs w:val="21"/>
                <w:lang w:eastAsia="zh-CN"/>
              </w:rPr>
              <w:t>成品</w:t>
            </w:r>
            <w:r>
              <w:rPr>
                <w:sz w:val="21"/>
                <w:szCs w:val="21"/>
                <w:lang w:eastAsia="zh-CN"/>
              </w:rPr>
              <w:t>、日常表现、表演、观察</w:t>
            </w:r>
          </w:p>
          <w:p>
            <w:pPr>
              <w:pStyle w:val="9"/>
              <w:spacing w:before="65"/>
              <w:ind w:left="107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(3)档案评</w:t>
            </w:r>
            <w:r>
              <w:rPr>
                <w:rFonts w:hint="eastAsia"/>
                <w:sz w:val="21"/>
                <w:szCs w:val="21"/>
                <w:lang w:eastAsia="zh-CN"/>
              </w:rPr>
              <w:t>价</w:t>
            </w:r>
            <w:r>
              <w:rPr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sz w:val="21"/>
                <w:szCs w:val="21"/>
                <w:lang w:eastAsia="zh-CN"/>
              </w:rPr>
              <w:t>书</w:t>
            </w:r>
            <w:r>
              <w:rPr>
                <w:sz w:val="21"/>
                <w:szCs w:val="21"/>
                <w:lang w:eastAsia="zh-CN"/>
              </w:rPr>
              <w:t>面报告、专题档案</w:t>
            </w:r>
          </w:p>
          <w:p>
            <w:pPr>
              <w:pStyle w:val="9"/>
              <w:spacing w:before="65"/>
              <w:ind w:left="107"/>
              <w:rPr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(4)口语评</w:t>
            </w:r>
            <w:r>
              <w:rPr>
                <w:rFonts w:hint="eastAsia"/>
                <w:sz w:val="21"/>
                <w:szCs w:val="21"/>
                <w:lang w:eastAsia="zh-CN"/>
              </w:rPr>
              <w:t>价</w:t>
            </w:r>
            <w:r>
              <w:rPr>
                <w:sz w:val="21"/>
                <w:szCs w:val="21"/>
                <w:lang w:eastAsia="zh-CN"/>
              </w:rPr>
              <w:t>：口头报告、口试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2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9"/>
              <w:ind w:left="170"/>
              <w:rPr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lang w:eastAsia="zh-CN"/>
              </w:rPr>
              <w:t>审批意见</w:t>
            </w:r>
          </w:p>
        </w:tc>
        <w:tc>
          <w:tcPr>
            <w:tcW w:w="7930" w:type="dxa"/>
            <w:gridSpan w:val="11"/>
          </w:tcPr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课程教学大纲起草团队成员签名：</w:t>
            </w: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6255"/>
              </w:tabs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张静</w:t>
            </w:r>
          </w:p>
          <w:p>
            <w:pPr>
              <w:tabs>
                <w:tab w:val="left" w:pos="5727"/>
              </w:tabs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                                                 202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年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8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25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日</w:t>
            </w:r>
          </w:p>
          <w:p>
            <w:pP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7" w:hRule="atLeas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9"/>
              <w:spacing w:before="53"/>
              <w:ind w:left="587"/>
              <w:rPr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930" w:type="dxa"/>
            <w:gridSpan w:val="11"/>
          </w:tcPr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专家组审定意见：</w:t>
            </w: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            </w:t>
            </w: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ind w:firstLine="2310" w:firstLineChars="110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专家组成员签名：</w:t>
            </w: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                                                    年  月  日</w:t>
            </w:r>
          </w:p>
          <w:p>
            <w:pP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1" w:hRule="atLeas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9"/>
              <w:spacing w:before="53"/>
              <w:ind w:left="587"/>
              <w:rPr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930" w:type="dxa"/>
            <w:gridSpan w:val="11"/>
          </w:tcPr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学院教学工作指导小组审议意见：</w:t>
            </w: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教学工作指导小组组长：</w:t>
            </w: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                                     </w:t>
            </w: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ind w:firstLine="3675" w:firstLineChars="175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           年  月  日</w:t>
            </w:r>
          </w:p>
          <w:p>
            <w:pP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lang w:eastAsia="zh-CN"/>
                  </w:rPr>
                  <w:t>4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1B1AFE"/>
    <w:multiLevelType w:val="singleLevel"/>
    <w:tmpl w:val="8A1B1AFE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053208E"/>
    <w:multiLevelType w:val="multilevel"/>
    <w:tmpl w:val="0053208E"/>
    <w:lvl w:ilvl="0" w:tentative="0">
      <w:start w:val="0"/>
      <w:numFmt w:val="bullet"/>
      <w:lvlText w:val=""/>
      <w:lvlJc w:val="left"/>
      <w:pPr>
        <w:ind w:left="400" w:hanging="188"/>
      </w:pPr>
      <w:rPr>
        <w:rFonts w:hint="default" w:ascii="Wingdings 2" w:hAnsi="Wingdings 2" w:eastAsia="Wingdings 2" w:cs="Wingdings 2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890" w:hanging="18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380" w:hanging="18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1870" w:hanging="18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361" w:hanging="18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2851" w:hanging="18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341" w:hanging="18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32" w:hanging="18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322" w:hanging="18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2QwNDMzNDM4MjI5ZTVjYTk3OTljNzNiMjc2NjY4MWQifQ=="/>
  </w:docVars>
  <w:rsids>
    <w:rsidRoot w:val="22BD5605"/>
    <w:rsid w:val="00010421"/>
    <w:rsid w:val="001B017F"/>
    <w:rsid w:val="0021085D"/>
    <w:rsid w:val="002A3912"/>
    <w:rsid w:val="0039092A"/>
    <w:rsid w:val="00457FDF"/>
    <w:rsid w:val="0069080A"/>
    <w:rsid w:val="00721E1A"/>
    <w:rsid w:val="007D66DD"/>
    <w:rsid w:val="00826A50"/>
    <w:rsid w:val="008746A1"/>
    <w:rsid w:val="00892484"/>
    <w:rsid w:val="008954B3"/>
    <w:rsid w:val="008A2428"/>
    <w:rsid w:val="00917757"/>
    <w:rsid w:val="009D36A7"/>
    <w:rsid w:val="00A31EE8"/>
    <w:rsid w:val="00A36083"/>
    <w:rsid w:val="00B94469"/>
    <w:rsid w:val="00B94C4A"/>
    <w:rsid w:val="00BE0228"/>
    <w:rsid w:val="00CA10CD"/>
    <w:rsid w:val="00E4493F"/>
    <w:rsid w:val="00E90C3D"/>
    <w:rsid w:val="00FF739C"/>
    <w:rsid w:val="0823686A"/>
    <w:rsid w:val="09346FF4"/>
    <w:rsid w:val="09A30230"/>
    <w:rsid w:val="09B56DD7"/>
    <w:rsid w:val="09EB2F35"/>
    <w:rsid w:val="0AFA6B05"/>
    <w:rsid w:val="0B7879D8"/>
    <w:rsid w:val="0C8E0BA5"/>
    <w:rsid w:val="0C8F1E4D"/>
    <w:rsid w:val="0CD20E7F"/>
    <w:rsid w:val="0D1D5D78"/>
    <w:rsid w:val="0E375205"/>
    <w:rsid w:val="0E833935"/>
    <w:rsid w:val="11107048"/>
    <w:rsid w:val="13211808"/>
    <w:rsid w:val="136001C5"/>
    <w:rsid w:val="146B12E9"/>
    <w:rsid w:val="19ED534E"/>
    <w:rsid w:val="1E5D7733"/>
    <w:rsid w:val="1EDC601D"/>
    <w:rsid w:val="200416C5"/>
    <w:rsid w:val="206139A9"/>
    <w:rsid w:val="208C266E"/>
    <w:rsid w:val="20BD1FB7"/>
    <w:rsid w:val="20EB6EA3"/>
    <w:rsid w:val="213A5369"/>
    <w:rsid w:val="22BD5605"/>
    <w:rsid w:val="241656CB"/>
    <w:rsid w:val="242B54CF"/>
    <w:rsid w:val="26124FFE"/>
    <w:rsid w:val="2671325B"/>
    <w:rsid w:val="269B5515"/>
    <w:rsid w:val="26AC0219"/>
    <w:rsid w:val="277C5118"/>
    <w:rsid w:val="281F435A"/>
    <w:rsid w:val="2DE6702A"/>
    <w:rsid w:val="2E2E0959"/>
    <w:rsid w:val="2E514BB1"/>
    <w:rsid w:val="2F8959DA"/>
    <w:rsid w:val="324E44C2"/>
    <w:rsid w:val="32695265"/>
    <w:rsid w:val="33D07F68"/>
    <w:rsid w:val="33E6601F"/>
    <w:rsid w:val="34E36156"/>
    <w:rsid w:val="37E65936"/>
    <w:rsid w:val="38C0292D"/>
    <w:rsid w:val="3AAF7DE1"/>
    <w:rsid w:val="3AB9799F"/>
    <w:rsid w:val="3C4A7B53"/>
    <w:rsid w:val="3C5C7EAE"/>
    <w:rsid w:val="3E8B4559"/>
    <w:rsid w:val="401216A7"/>
    <w:rsid w:val="410D02F4"/>
    <w:rsid w:val="418C3939"/>
    <w:rsid w:val="41A97120"/>
    <w:rsid w:val="43E2372A"/>
    <w:rsid w:val="43F749B0"/>
    <w:rsid w:val="443E6FD9"/>
    <w:rsid w:val="44C33A1F"/>
    <w:rsid w:val="45920E2C"/>
    <w:rsid w:val="462B0680"/>
    <w:rsid w:val="48E13E6F"/>
    <w:rsid w:val="48FF3D42"/>
    <w:rsid w:val="491D3F07"/>
    <w:rsid w:val="4C545173"/>
    <w:rsid w:val="514C537E"/>
    <w:rsid w:val="53465DD1"/>
    <w:rsid w:val="55A01453"/>
    <w:rsid w:val="55CC3EAE"/>
    <w:rsid w:val="585D6BF1"/>
    <w:rsid w:val="58DD0A28"/>
    <w:rsid w:val="58E20AD5"/>
    <w:rsid w:val="592C5DC3"/>
    <w:rsid w:val="59E61437"/>
    <w:rsid w:val="5ACF3EF0"/>
    <w:rsid w:val="5B2F609F"/>
    <w:rsid w:val="5C00229D"/>
    <w:rsid w:val="5C3D2CF7"/>
    <w:rsid w:val="5D4A4D20"/>
    <w:rsid w:val="5F495E6D"/>
    <w:rsid w:val="5F790384"/>
    <w:rsid w:val="5FF72AE7"/>
    <w:rsid w:val="603532CD"/>
    <w:rsid w:val="63AE14A3"/>
    <w:rsid w:val="63C949E0"/>
    <w:rsid w:val="63CD18C1"/>
    <w:rsid w:val="65094A7B"/>
    <w:rsid w:val="65B84AF4"/>
    <w:rsid w:val="661E272F"/>
    <w:rsid w:val="66C264F6"/>
    <w:rsid w:val="69031802"/>
    <w:rsid w:val="6A451182"/>
    <w:rsid w:val="6D522837"/>
    <w:rsid w:val="6EC3051C"/>
    <w:rsid w:val="6F98659B"/>
    <w:rsid w:val="6FEB30D8"/>
    <w:rsid w:val="738D23F6"/>
    <w:rsid w:val="75AD1625"/>
    <w:rsid w:val="79434DBF"/>
    <w:rsid w:val="7A424D19"/>
    <w:rsid w:val="7C7016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en-US" w:eastAsia="en-US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3"/>
    </w:pPr>
    <w:rPr>
      <w:rFonts w:ascii="宋体" w:hAnsi="宋体" w:eastAsia="宋体" w:cs="宋体"/>
      <w:b/>
      <w:bCs/>
      <w:sz w:val="36"/>
      <w:szCs w:val="36"/>
    </w:rPr>
  </w:style>
  <w:style w:type="paragraph" w:styleId="3">
    <w:name w:val="Plain Text"/>
    <w:basedOn w:val="1"/>
    <w:link w:val="12"/>
    <w:qFormat/>
    <w:uiPriority w:val="0"/>
    <w:pPr>
      <w:autoSpaceDE/>
      <w:autoSpaceDN/>
      <w:jc w:val="both"/>
    </w:pPr>
    <w:rPr>
      <w:rFonts w:ascii="宋体" w:hAnsi="Courier New" w:eastAsia="宋体" w:cs="Times New Roman"/>
      <w:kern w:val="2"/>
      <w:sz w:val="21"/>
      <w:szCs w:val="21"/>
      <w:lang w:eastAsia="zh-CN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6">
    <w:name w:val="Normal (Web)"/>
    <w:basedOn w:val="1"/>
    <w:uiPriority w:val="0"/>
    <w:rPr>
      <w:sz w:val="24"/>
    </w:r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wingrighttext1"/>
    <w:qFormat/>
    <w:uiPriority w:val="0"/>
    <w:rPr>
      <w:rFonts w:hint="default"/>
      <w:color w:val="333333"/>
      <w:sz w:val="21"/>
      <w:szCs w:val="21"/>
    </w:rPr>
  </w:style>
  <w:style w:type="paragraph" w:styleId="11">
    <w:name w:val="List Paragraph"/>
    <w:basedOn w:val="1"/>
    <w:qFormat/>
    <w:uiPriority w:val="34"/>
    <w:pPr>
      <w:widowControl/>
      <w:autoSpaceDE/>
      <w:autoSpaceDN/>
      <w:ind w:firstLine="420" w:firstLineChars="200"/>
    </w:pPr>
    <w:rPr>
      <w:rFonts w:ascii="宋体" w:hAnsi="宋体" w:eastAsia="宋体" w:cs="宋体"/>
      <w:sz w:val="24"/>
      <w:szCs w:val="24"/>
      <w:lang w:eastAsia="zh-CN"/>
    </w:rPr>
  </w:style>
  <w:style w:type="character" w:customStyle="1" w:styleId="12">
    <w:name w:val="纯文本 Char"/>
    <w:basedOn w:val="8"/>
    <w:link w:val="3"/>
    <w:qFormat/>
    <w:uiPriority w:val="0"/>
    <w:rPr>
      <w:rFonts w:ascii="宋体" w:hAnsi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2200</Words>
  <Characters>2278</Characters>
  <Lines>24</Lines>
  <Paragraphs>6</Paragraphs>
  <TotalTime>1</TotalTime>
  <ScaleCrop>false</ScaleCrop>
  <LinksUpToDate>false</LinksUpToDate>
  <CharactersWithSpaces>2601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2021-08-21T03:36:00Z</dcterms:created>
  <dc:creator>JS</dc:creator>
  <cp:lastModifiedBy>HP</cp:lastModifiedBy>
  <dcterms:modified xsi:type="dcterms:W3CDTF">2022-09-22T03:55:05Z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EBCE9CA413784766A1218618863F2017</vt:lpwstr>
  </property>
</Properties>
</file>