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CC2D1">
      <w:pPr>
        <w:jc w:val="center"/>
        <w:rPr>
          <w:b/>
          <w:bCs/>
          <w:color w:val="auto"/>
          <w:sz w:val="32"/>
          <w:szCs w:val="32"/>
          <w:highlight w:val="none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</w:rPr>
        <w:t>采购需求</w:t>
      </w:r>
    </w:p>
    <w:p w14:paraId="3C459CED">
      <w:pPr>
        <w:pStyle w:val="8"/>
        <w:spacing w:before="94" w:line="360" w:lineRule="auto"/>
        <w:ind w:left="128" w:right="142"/>
        <w:rPr>
          <w:rFonts w:asciiTheme="majorEastAsia" w:hAnsiTheme="majorEastAsia" w:eastAsiaTheme="majorEastAsia" w:cstheme="majorEastAsia"/>
          <w:b/>
          <w:bCs/>
          <w:color w:val="auto"/>
          <w:spacing w:val="6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pacing w:val="6"/>
          <w:sz w:val="24"/>
          <w:szCs w:val="24"/>
          <w:highlight w:val="none"/>
          <w:lang w:eastAsia="zh-CN"/>
        </w:rPr>
        <w:t>一、能谱分析仪</w:t>
      </w:r>
    </w:p>
    <w:p w14:paraId="55A1FEB2">
      <w:pPr>
        <w:pStyle w:val="8"/>
        <w:spacing w:before="94" w:line="360" w:lineRule="auto"/>
        <w:ind w:left="128" w:right="142"/>
        <w:rPr>
          <w:rFonts w:asciiTheme="majorEastAsia" w:hAnsiTheme="majorEastAsia" w:eastAsiaTheme="majorEastAsia" w:cstheme="majorEastAsia"/>
          <w:b/>
          <w:bCs/>
          <w:color w:val="auto"/>
          <w:spacing w:val="6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pacing w:val="6"/>
          <w:sz w:val="24"/>
          <w:szCs w:val="24"/>
          <w:highlight w:val="none"/>
          <w:lang w:eastAsia="zh-CN"/>
        </w:rPr>
        <w:t>（一）技术要求</w:t>
      </w:r>
    </w:p>
    <w:p w14:paraId="42B4E142">
      <w:pPr>
        <w:pStyle w:val="8"/>
        <w:spacing w:before="94" w:line="360" w:lineRule="auto"/>
        <w:ind w:left="134" w:right="142" w:hanging="6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highlight w:val="none"/>
          <w:lang w:eastAsia="zh-CN"/>
        </w:rPr>
        <w:t>1、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探测器：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SDD硅漂移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电制冷探测器，有效面积≥30 mm²;采</w:t>
      </w:r>
      <w:r>
        <w:rPr>
          <w:rFonts w:hint="eastAsia" w:asciiTheme="majorEastAsia" w:hAnsiTheme="majorEastAsia" w:eastAsiaTheme="majorEastAsia" w:cstheme="majorEastAsia"/>
          <w:color w:val="auto"/>
          <w:spacing w:val="-1"/>
          <w:sz w:val="24"/>
          <w:szCs w:val="24"/>
          <w:highlight w:val="none"/>
          <w:lang w:eastAsia="zh-CN"/>
        </w:rPr>
        <w:t>用高分子薄膜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窗口，无需液氮冷却，仅消耗电能。</w:t>
      </w:r>
    </w:p>
    <w:p w14:paraId="30327EB7">
      <w:pPr>
        <w:pStyle w:val="8"/>
        <w:spacing w:before="16" w:line="360" w:lineRule="auto"/>
        <w:ind w:left="135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  <w:lang w:eastAsia="zh-CN"/>
        </w:rPr>
        <w:t>2、能量分辨率：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  <w:lang w:eastAsia="zh-CN"/>
        </w:rPr>
        <w:t xml:space="preserve">≤129 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eV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  <w:lang w:eastAsia="zh-CN"/>
        </w:rPr>
        <w:t>。</w:t>
      </w:r>
    </w:p>
    <w:p w14:paraId="1C33EEE0">
      <w:pPr>
        <w:pStyle w:val="8"/>
        <w:spacing w:before="109" w:line="360" w:lineRule="auto"/>
        <w:ind w:left="135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  <w:lang w:eastAsia="zh-CN"/>
        </w:rPr>
        <w:t>3、</w:t>
      </w: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  <w:lang w:eastAsia="zh-CN"/>
        </w:rPr>
        <w:t>检测元素范围：</w:t>
      </w: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  <w:lang w:eastAsia="zh-CN"/>
        </w:rPr>
        <w:t>≥</w:t>
      </w: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  <w:lang w:eastAsia="zh-CN"/>
        </w:rPr>
        <w:t>Be(4) ~ U(92)</w:t>
      </w: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  <w:lang w:eastAsia="zh-CN"/>
        </w:rPr>
        <w:t>。</w:t>
      </w:r>
    </w:p>
    <w:p w14:paraId="0F5FCA4A">
      <w:pPr>
        <w:pStyle w:val="8"/>
        <w:spacing w:before="110" w:line="360" w:lineRule="auto"/>
        <w:ind w:left="134" w:right="103" w:hanging="29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5"/>
          <w:sz w:val="24"/>
          <w:szCs w:val="24"/>
          <w:highlight w:val="none"/>
          <w:lang w:eastAsia="zh-CN"/>
        </w:rPr>
        <w:t>4、</w:t>
      </w:r>
      <w:r>
        <w:rPr>
          <w:rFonts w:hint="eastAsia" w:asciiTheme="majorEastAsia" w:hAnsiTheme="majorEastAsia" w:eastAsiaTheme="majorEastAsia" w:cstheme="majorEastAsia"/>
          <w:color w:val="auto"/>
          <w:spacing w:val="-5"/>
          <w:sz w:val="24"/>
          <w:szCs w:val="24"/>
          <w:highlight w:val="none"/>
          <w:lang w:eastAsia="zh-CN"/>
        </w:rPr>
        <w:t>能谱分析功能：定</w:t>
      </w:r>
      <w:r>
        <w:rPr>
          <w:rFonts w:hint="eastAsia" w:asciiTheme="majorEastAsia" w:hAnsiTheme="majorEastAsia" w:eastAsiaTheme="majorEastAsia" w:cstheme="majorEastAsia"/>
          <w:color w:val="auto"/>
          <w:spacing w:val="-5"/>
          <w:sz w:val="24"/>
          <w:szCs w:val="24"/>
          <w:highlight w:val="none"/>
          <w:lang w:eastAsia="zh-CN"/>
        </w:rPr>
        <w:t>性分析(峰识别，自动定性分析)、可视化峰识别和无标样定量分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  <w:lang w:eastAsia="zh-CN"/>
        </w:rPr>
        <w:t>析等。</w:t>
      </w:r>
    </w:p>
    <w:p w14:paraId="68E03439">
      <w:pPr>
        <w:pStyle w:val="8"/>
        <w:spacing w:before="87" w:line="360" w:lineRule="auto"/>
        <w:ind w:left="124" w:right="28" w:firstLine="10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  <w:lang w:eastAsia="zh-CN"/>
        </w:rPr>
        <w:t>5、元素面分布：支持多色、单色和多色叠</w:t>
      </w:r>
      <w:r>
        <w:rPr>
          <w:rFonts w:hint="eastAsia" w:asciiTheme="majorEastAsia" w:hAnsiTheme="majorEastAsia" w:eastAsiaTheme="majorEastAsia" w:cstheme="majorEastAsia"/>
          <w:color w:val="auto"/>
          <w:spacing w:val="-5"/>
          <w:sz w:val="24"/>
          <w:szCs w:val="24"/>
          <w:highlight w:val="none"/>
          <w:lang w:eastAsia="zh-CN"/>
        </w:rPr>
        <w:t>加功能；最大分辨率像素：4096×3072；采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用重叠峰剥离面分布图(净计数面分布图，定量面分布图)和实时净计</w:t>
      </w:r>
      <w:r>
        <w:rPr>
          <w:rFonts w:hint="eastAsia" w:asciiTheme="majorEastAsia" w:hAnsiTheme="majorEastAsia" w:eastAsiaTheme="majorEastAsia" w:cstheme="majorEastAsia"/>
          <w:color w:val="auto"/>
          <w:spacing w:val="-1"/>
          <w:sz w:val="24"/>
          <w:szCs w:val="24"/>
          <w:highlight w:val="none"/>
          <w:lang w:eastAsia="zh-CN"/>
        </w:rPr>
        <w:t>数面分布图；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支持实时过滤、电子束追踪和回溯分析等功能。</w:t>
      </w:r>
    </w:p>
    <w:p w14:paraId="4E1CBBA1">
      <w:pPr>
        <w:pStyle w:val="8"/>
        <w:spacing w:before="103" w:line="360" w:lineRule="auto"/>
        <w:ind w:left="134" w:right="79" w:hanging="19"/>
        <w:rPr>
          <w:rFonts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5"/>
          <w:sz w:val="24"/>
          <w:szCs w:val="24"/>
          <w:highlight w:val="none"/>
          <w:lang w:eastAsia="zh-CN"/>
        </w:rPr>
        <w:t>6、连续分析：支持谱图分析、</w:t>
      </w:r>
      <w:r>
        <w:rPr>
          <w:rFonts w:hint="eastAsia" w:asciiTheme="majorEastAsia" w:hAnsiTheme="majorEastAsia" w:eastAsiaTheme="majorEastAsia" w:cstheme="majorEastAsia"/>
          <w:color w:val="auto"/>
          <w:spacing w:val="-5"/>
          <w:sz w:val="24"/>
          <w:szCs w:val="24"/>
          <w:highlight w:val="none"/>
          <w:lang w:eastAsia="zh-CN"/>
        </w:rPr>
        <w:t>线分析和元素面分析连续进行，</w:t>
      </w:r>
      <w:r>
        <w:rPr>
          <w:rFonts w:hint="eastAsia" w:asciiTheme="majorEastAsia" w:hAnsiTheme="majorEastAsia" w:eastAsiaTheme="majorEastAsia" w:cstheme="majorEastAsia"/>
          <w:color w:val="auto"/>
          <w:spacing w:val="-5"/>
          <w:sz w:val="24"/>
          <w:szCs w:val="24"/>
          <w:highlight w:val="none"/>
          <w:lang w:eastAsia="zh-CN"/>
        </w:rPr>
        <w:t>并能综合分析已测定的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  <w:lang w:eastAsia="zh-CN"/>
        </w:rPr>
        <w:t>数据；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  <w:spacing w:val="1"/>
          <w:sz w:val="24"/>
          <w:szCs w:val="24"/>
          <w:highlight w:val="none"/>
          <w:lang w:eastAsia="zh-CN"/>
        </w:rPr>
        <w:t>自动制作蒙太奇（SEM图像，元素面分布图），多区域连元素面分布图。</w:t>
      </w:r>
    </w:p>
    <w:p w14:paraId="56C5809E">
      <w:pPr>
        <w:pStyle w:val="8"/>
        <w:spacing w:before="91" w:line="360" w:lineRule="auto"/>
        <w:ind w:left="135" w:right="104" w:firstLine="10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、EDS 系统可与现有 JSM-IT500 扫描电镜实现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一体化控制，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坐标精准联动、图像与能谱数据互通；可在电镜图像上直接指定分析点位并图形标识，应实现统一界面管理图像与能谱数据；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另加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配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一台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显示器，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屏幕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≥32 英寸，4K分辨率。</w:t>
      </w:r>
    </w:p>
    <w:p w14:paraId="02AF9F4C">
      <w:pPr>
        <w:pStyle w:val="8"/>
        <w:spacing w:before="91" w:line="360" w:lineRule="auto"/>
        <w:ind w:left="135" w:right="104" w:firstLine="10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、软件升级与设备适配：在现有扫描电子显微镜JSM-IT500硬件适配范围内，完成设备配套软件最新版本升级调试；所投EDS能谱系统需与JSM-IT500扫描电镜完美适配，联动运行稳定、无兼容故障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。</w:t>
      </w:r>
    </w:p>
    <w:p w14:paraId="267EDB23">
      <w:pPr>
        <w:pStyle w:val="8"/>
        <w:spacing w:before="115" w:line="360" w:lineRule="auto"/>
        <w:ind w:left="135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提供1次扫描电子显微镜JSM-IT500的维护保养服务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服务商须为设备原厂或持有原厂有效正式授权文件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。</w:t>
      </w:r>
    </w:p>
    <w:p w14:paraId="6BA98DDA">
      <w:pPr>
        <w:pStyle w:val="8"/>
        <w:spacing w:before="87" w:line="360" w:lineRule="auto"/>
        <w:ind w:left="135" w:right="98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  <w:lang w:eastAsia="zh-CN"/>
        </w:rPr>
        <w:t>1</w:t>
      </w: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  <w:lang w:val="en-US" w:eastAsia="zh-CN"/>
        </w:rPr>
        <w:t>0</w:t>
      </w: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  <w:lang w:eastAsia="zh-CN"/>
        </w:rPr>
        <w:t>提升整体实验环境，</w:t>
      </w: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  <w:lang w:eastAsia="zh-CN"/>
        </w:rPr>
        <w:t>对设备存放区域A106/A107实验室进行全面改造提升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。</w:t>
      </w:r>
    </w:p>
    <w:p w14:paraId="24565881">
      <w:pPr>
        <w:spacing w:line="360" w:lineRule="auto"/>
        <w:rPr>
          <w:rFonts w:asciiTheme="majorEastAsia" w:hAnsiTheme="majorEastAsia" w:eastAsiaTheme="majorEastAsia" w:cstheme="majorEastAsia"/>
          <w:b/>
          <w:bCs/>
          <w:color w:val="auto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highlight w:val="none"/>
        </w:rPr>
        <w:t>（二）主要配置及附属设备</w:t>
      </w:r>
    </w:p>
    <w:tbl>
      <w:tblPr>
        <w:tblStyle w:val="9"/>
        <w:tblW w:w="7940" w:type="dxa"/>
        <w:tblInd w:w="3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0"/>
        <w:gridCol w:w="4440"/>
        <w:gridCol w:w="1760"/>
      </w:tblGrid>
      <w:tr w14:paraId="5444C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740" w:type="dxa"/>
            <w:vAlign w:val="center"/>
          </w:tcPr>
          <w:p w14:paraId="53F2F557">
            <w:pPr>
              <w:pStyle w:val="8"/>
              <w:spacing w:before="88" w:line="221" w:lineRule="auto"/>
              <w:ind w:left="45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7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4440" w:type="dxa"/>
            <w:vAlign w:val="center"/>
          </w:tcPr>
          <w:p w14:paraId="65CB6CF0">
            <w:pPr>
              <w:pStyle w:val="8"/>
              <w:spacing w:before="91" w:line="222" w:lineRule="auto"/>
              <w:ind w:left="70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-3"/>
                <w:sz w:val="24"/>
                <w:szCs w:val="24"/>
                <w:highlight w:val="none"/>
              </w:rPr>
              <w:t>配置</w:t>
            </w:r>
          </w:p>
        </w:tc>
        <w:tc>
          <w:tcPr>
            <w:tcW w:w="1760" w:type="dxa"/>
            <w:vAlign w:val="center"/>
          </w:tcPr>
          <w:p w14:paraId="2D6467F8">
            <w:pPr>
              <w:pStyle w:val="8"/>
              <w:spacing w:before="86" w:line="219" w:lineRule="auto"/>
              <w:ind w:left="84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4"/>
                <w:sz w:val="24"/>
                <w:szCs w:val="24"/>
                <w:highlight w:val="none"/>
              </w:rPr>
              <w:t>数量</w:t>
            </w:r>
          </w:p>
        </w:tc>
      </w:tr>
      <w:tr w14:paraId="52150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740" w:type="dxa"/>
            <w:vAlign w:val="center"/>
          </w:tcPr>
          <w:p w14:paraId="1B13772C">
            <w:pPr>
              <w:pStyle w:val="8"/>
              <w:spacing w:before="110" w:line="215" w:lineRule="auto"/>
              <w:ind w:left="45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4440" w:type="dxa"/>
            <w:vAlign w:val="center"/>
          </w:tcPr>
          <w:p w14:paraId="5BD310F5">
            <w:pPr>
              <w:pStyle w:val="8"/>
              <w:spacing w:before="81" w:line="215" w:lineRule="auto"/>
              <w:ind w:left="70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-2"/>
                <w:sz w:val="24"/>
                <w:szCs w:val="24"/>
                <w:highlight w:val="none"/>
              </w:rPr>
              <w:t>30</w:t>
            </w:r>
            <w:r>
              <w:rPr>
                <w:rFonts w:hint="eastAsia"/>
                <w:color w:val="auto"/>
                <w:spacing w:val="-2"/>
                <w:sz w:val="24"/>
                <w:szCs w:val="24"/>
                <w:highlight w:val="none"/>
              </w:rPr>
              <w:t>mm²</w:t>
            </w:r>
            <w:r>
              <w:rPr>
                <w:color w:val="auto"/>
                <w:spacing w:val="-2"/>
                <w:sz w:val="24"/>
                <w:szCs w:val="24"/>
                <w:highlight w:val="none"/>
              </w:rPr>
              <w:t>能谱仪检测器</w:t>
            </w:r>
          </w:p>
        </w:tc>
        <w:tc>
          <w:tcPr>
            <w:tcW w:w="1760" w:type="dxa"/>
            <w:vAlign w:val="center"/>
          </w:tcPr>
          <w:p w14:paraId="5EDE32BC">
            <w:pPr>
              <w:pStyle w:val="8"/>
              <w:spacing w:before="110" w:line="215" w:lineRule="auto"/>
              <w:ind w:left="84"/>
              <w:jc w:val="center"/>
              <w:rPr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套</w:t>
            </w:r>
          </w:p>
        </w:tc>
      </w:tr>
      <w:tr w14:paraId="56D48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740" w:type="dxa"/>
            <w:vAlign w:val="center"/>
          </w:tcPr>
          <w:p w14:paraId="780450AE">
            <w:pPr>
              <w:pStyle w:val="8"/>
              <w:spacing w:before="110" w:line="215" w:lineRule="auto"/>
              <w:ind w:left="45"/>
              <w:jc w:val="center"/>
              <w:rPr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2</w:t>
            </w:r>
          </w:p>
        </w:tc>
        <w:tc>
          <w:tcPr>
            <w:tcW w:w="4440" w:type="dxa"/>
            <w:vAlign w:val="center"/>
          </w:tcPr>
          <w:p w14:paraId="58982A4E">
            <w:pPr>
              <w:pStyle w:val="8"/>
              <w:spacing w:before="81" w:line="215" w:lineRule="auto"/>
              <w:ind w:left="70"/>
              <w:jc w:val="center"/>
              <w:rPr>
                <w:color w:val="auto"/>
                <w:spacing w:val="-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2"/>
                <w:sz w:val="24"/>
                <w:szCs w:val="24"/>
                <w:highlight w:val="none"/>
                <w:lang w:eastAsia="zh-CN"/>
              </w:rPr>
              <w:t>大型柜式通风冷热设备</w:t>
            </w:r>
          </w:p>
        </w:tc>
        <w:tc>
          <w:tcPr>
            <w:tcW w:w="1760" w:type="dxa"/>
            <w:vAlign w:val="center"/>
          </w:tcPr>
          <w:p w14:paraId="609BDF5B">
            <w:pPr>
              <w:pStyle w:val="8"/>
              <w:spacing w:before="110" w:line="215" w:lineRule="auto"/>
              <w:ind w:left="84"/>
              <w:jc w:val="center"/>
              <w:rPr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3套</w:t>
            </w:r>
          </w:p>
        </w:tc>
      </w:tr>
    </w:tbl>
    <w:p w14:paraId="03320061">
      <w:pPr>
        <w:spacing w:line="360" w:lineRule="auto"/>
        <w:rPr>
          <w:rFonts w:asciiTheme="majorEastAsia" w:hAnsiTheme="majorEastAsia" w:eastAsiaTheme="majorEastAsia" w:cstheme="majorEastAsia"/>
          <w:b/>
          <w:bCs/>
          <w:color w:val="auto"/>
          <w:sz w:val="24"/>
          <w:highlight w:val="none"/>
        </w:rPr>
      </w:pPr>
    </w:p>
    <w:p w14:paraId="507D1EA1">
      <w:pPr>
        <w:numPr>
          <w:ilvl w:val="0"/>
          <w:numId w:val="1"/>
        </w:numPr>
        <w:spacing w:line="360" w:lineRule="auto"/>
        <w:rPr>
          <w:rFonts w:asciiTheme="majorEastAsia" w:hAnsiTheme="majorEastAsia" w:eastAsiaTheme="majorEastAsia" w:cstheme="majorEastAsia"/>
          <w:b/>
          <w:bCs/>
          <w:color w:val="auto"/>
          <w:spacing w:val="1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pacing w:val="1"/>
          <w:sz w:val="24"/>
          <w:highlight w:val="none"/>
        </w:rPr>
        <w:t>偏光显微镜</w:t>
      </w:r>
    </w:p>
    <w:p w14:paraId="508AAFF8">
      <w:pPr>
        <w:spacing w:line="360" w:lineRule="auto"/>
        <w:rPr>
          <w:rFonts w:asciiTheme="majorEastAsia" w:hAnsiTheme="majorEastAsia" w:eastAsiaTheme="majorEastAsia" w:cstheme="majorEastAsia"/>
          <w:b/>
          <w:bCs/>
          <w:color w:val="auto"/>
          <w:spacing w:val="1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pacing w:val="1"/>
          <w:sz w:val="24"/>
          <w:highlight w:val="none"/>
        </w:rPr>
        <w:t>（一）技术要求</w:t>
      </w:r>
    </w:p>
    <w:p w14:paraId="4258A13D">
      <w:pPr>
        <w:pStyle w:val="8"/>
        <w:spacing w:before="10" w:line="360" w:lineRule="auto"/>
        <w:ind w:left="134" w:right="102" w:hanging="19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  <w:lang w:eastAsia="zh-CN"/>
        </w:rPr>
        <w:t>1</w:t>
      </w:r>
      <w:r>
        <w:rPr>
          <w:rFonts w:hint="eastAsia" w:asciiTheme="majorEastAsia" w:hAnsiTheme="majorEastAsia" w:eastAsiaTheme="majorEastAsia" w:cstheme="majorEastAsia"/>
          <w:color w:val="auto"/>
          <w:spacing w:val="-9"/>
          <w:sz w:val="24"/>
          <w:szCs w:val="24"/>
          <w:highlight w:val="none"/>
          <w:lang w:eastAsia="zh-CN"/>
        </w:rPr>
        <w:t>、设备采用国际标准无限远平行光路系统，实现主机光路系统与机械构件高度适配统一；主机配备复消色差光路，</w:t>
      </w:r>
      <w:r>
        <w:rPr>
          <w:rFonts w:hint="eastAsia" w:asciiTheme="majorEastAsia" w:hAnsiTheme="majorEastAsia" w:eastAsiaTheme="majorEastAsia" w:cstheme="majorEastAsia"/>
          <w:color w:val="auto"/>
          <w:spacing w:val="-9"/>
          <w:sz w:val="24"/>
          <w:szCs w:val="24"/>
          <w:highlight w:val="none"/>
          <w:lang w:eastAsia="zh-CN"/>
        </w:rPr>
        <w:t>有效光路直径≥25mm，</w:t>
      </w:r>
      <w:r>
        <w:rPr>
          <w:rFonts w:hint="eastAsia" w:asciiTheme="majorEastAsia" w:hAnsiTheme="majorEastAsia" w:eastAsiaTheme="majorEastAsia" w:cstheme="majorEastAsia"/>
          <w:color w:val="auto"/>
          <w:spacing w:val="-9"/>
          <w:sz w:val="24"/>
          <w:szCs w:val="24"/>
          <w:highlight w:val="none"/>
          <w:lang w:eastAsia="zh-CN"/>
        </w:rPr>
        <w:t>采用国际标准45mm齐焦距离，所有光学部件镀膜具备防霉性能。</w:t>
      </w:r>
    </w:p>
    <w:p w14:paraId="778D6829">
      <w:pPr>
        <w:pStyle w:val="8"/>
        <w:spacing w:before="4" w:line="360" w:lineRule="auto"/>
        <w:ind w:left="135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9"/>
          <w:sz w:val="24"/>
          <w:szCs w:val="24"/>
          <w:highlight w:val="none"/>
          <w:lang w:eastAsia="zh-CN"/>
        </w:rPr>
        <w:t>2、反射光、透射光观察：明场、斜照明、偏光观察功能，</w:t>
      </w:r>
      <w:r>
        <w:rPr>
          <w:rFonts w:hint="eastAsia" w:asciiTheme="majorEastAsia" w:hAnsiTheme="majorEastAsia" w:eastAsiaTheme="majorEastAsia" w:cstheme="majorEastAsia"/>
          <w:color w:val="auto"/>
          <w:spacing w:val="-10"/>
          <w:sz w:val="24"/>
          <w:szCs w:val="24"/>
          <w:highlight w:val="none"/>
          <w:lang w:eastAsia="zh-CN"/>
        </w:rPr>
        <w:t>光路支持原厂扩展：</w:t>
      </w: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  <w:lang w:eastAsia="zh-CN"/>
        </w:rPr>
        <w:t>荧光观察、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DIC</w:t>
      </w:r>
      <w:r>
        <w:rPr>
          <w:rFonts w:hint="eastAsia" w:asciiTheme="majorEastAsia" w:hAnsiTheme="majorEastAsia" w:eastAsiaTheme="majorEastAsia" w:cstheme="majorEastAsia"/>
          <w:color w:val="auto"/>
          <w:spacing w:val="2"/>
          <w:sz w:val="24"/>
          <w:szCs w:val="24"/>
          <w:highlight w:val="none"/>
          <w:lang w:eastAsia="zh-CN"/>
        </w:rPr>
        <w:t>观察。</w:t>
      </w:r>
    </w:p>
    <w:p w14:paraId="5C4D06DF">
      <w:pPr>
        <w:pStyle w:val="8"/>
        <w:spacing w:before="1" w:line="360" w:lineRule="auto"/>
        <w:ind w:left="134" w:right="98" w:hanging="10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  <w:lang w:eastAsia="zh-CN"/>
        </w:rPr>
        <w:t>3、三目观察筒，具有三档调节(目镜观察、视频观察、目镜视频同时观察)视野数</w:t>
      </w:r>
      <w:r>
        <w:rPr>
          <w:rFonts w:hint="eastAsia" w:asciiTheme="majorEastAsia" w:hAnsiTheme="majorEastAsia" w:eastAsiaTheme="majorEastAsia" w:cstheme="majorEastAsia"/>
          <w:color w:val="auto"/>
          <w:spacing w:val="-2"/>
          <w:sz w:val="24"/>
          <w:szCs w:val="24"/>
          <w:highlight w:val="none"/>
          <w:lang w:eastAsia="zh-CN"/>
        </w:rPr>
        <w:t>FN≥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22mm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观察筒接口带屈光度调节功能。</w:t>
      </w:r>
    </w:p>
    <w:p w14:paraId="1CE7C313">
      <w:pPr>
        <w:pStyle w:val="8"/>
        <w:spacing w:before="34" w:line="360" w:lineRule="auto"/>
        <w:ind w:left="135" w:right="3022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4、屈光度调节装置功能的10X目镜，目镜</w:t>
      </w:r>
      <w:r>
        <w:rPr>
          <w:rFonts w:hint="eastAsia" w:asciiTheme="majorEastAsia" w:hAnsiTheme="majorEastAsia" w:eastAsiaTheme="majorEastAsia" w:cstheme="majorEastAsia"/>
          <w:color w:val="auto"/>
          <w:spacing w:val="-1"/>
          <w:sz w:val="24"/>
          <w:szCs w:val="24"/>
          <w:highlight w:val="none"/>
          <w:lang w:eastAsia="zh-CN"/>
        </w:rPr>
        <w:t>视野FN≥22mm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 xml:space="preserve"> 。</w:t>
      </w:r>
    </w:p>
    <w:p w14:paraId="17F116FE">
      <w:pPr>
        <w:pStyle w:val="8"/>
        <w:spacing w:before="34" w:line="360" w:lineRule="auto"/>
        <w:ind w:left="135" w:right="-6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5、编码式物镜转盘：物镜转盘孔数≥6孔。软件可识别并自动调整光强和加载比例尺。</w:t>
      </w:r>
      <w:bookmarkStart w:id="0" w:name="_GoBack"/>
      <w:bookmarkEnd w:id="0"/>
    </w:p>
    <w:p w14:paraId="0B342F97">
      <w:pPr>
        <w:pStyle w:val="8"/>
        <w:spacing w:before="1" w:line="360" w:lineRule="auto"/>
        <w:ind w:left="124" w:right="437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6、设备配套反差增强型消色差明场偏光物镜，具备成像反差增强功能，各倍率物镜参数不低于以下标准：</w:t>
      </w:r>
    </w:p>
    <w:p w14:paraId="3667524B">
      <w:pPr>
        <w:pStyle w:val="8"/>
        <w:spacing w:before="34" w:line="360" w:lineRule="auto"/>
        <w:ind w:left="135" w:right="3022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（1）2.5倍物镜：数值孔径NA≥0.07，工作距离≥11.2mm；</w:t>
      </w:r>
    </w:p>
    <w:p w14:paraId="3A49AA16">
      <w:pPr>
        <w:pStyle w:val="8"/>
        <w:spacing w:before="34" w:line="360" w:lineRule="auto"/>
        <w:ind w:left="135" w:right="3022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（2）5倍物镜：数值孔径NA≥0.12，工作距离≥14.0mm；</w:t>
      </w:r>
    </w:p>
    <w:p w14:paraId="7051F85C">
      <w:pPr>
        <w:pStyle w:val="8"/>
        <w:spacing w:before="34" w:line="360" w:lineRule="auto"/>
        <w:ind w:left="135" w:right="3022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（3）10倍物镜：数值孔径NA≥0.25，工作距离≥16.1mm；</w:t>
      </w:r>
    </w:p>
    <w:p w14:paraId="0BDFB249">
      <w:pPr>
        <w:pStyle w:val="8"/>
        <w:spacing w:before="34" w:line="360" w:lineRule="auto"/>
        <w:ind w:left="135" w:right="3022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（4）20倍物镜：数值孔径NA≥0.40，工作距离≥1.15mm；</w:t>
      </w:r>
    </w:p>
    <w:p w14:paraId="4D3D178B">
      <w:pPr>
        <w:pStyle w:val="8"/>
        <w:spacing w:before="34" w:line="360" w:lineRule="auto"/>
        <w:ind w:left="135" w:right="3022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（5）50倍物镜：数值孔径NA≥0.75，工作距离≥0.5mm；</w:t>
      </w:r>
    </w:p>
    <w:p w14:paraId="6A0B6704">
      <w:pPr>
        <w:pStyle w:val="8"/>
        <w:spacing w:before="34" w:line="360" w:lineRule="auto"/>
        <w:ind w:left="135" w:right="3022"/>
        <w:rPr>
          <w:rFonts w:asciiTheme="majorEastAsia" w:hAnsiTheme="majorEastAsia" w:eastAsiaTheme="majorEastAsia" w:cstheme="majorEastAsia"/>
          <w:color w:val="auto"/>
          <w:spacing w:val="4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（6）100倍物镜：数值孔径NA≥0.85，工作距离≥0.33mm。</w:t>
      </w:r>
    </w:p>
    <w:p w14:paraId="26A02EFC">
      <w:pPr>
        <w:pStyle w:val="8"/>
        <w:spacing w:before="1" w:line="360" w:lineRule="auto"/>
        <w:ind w:left="124" w:right="437" w:firstLine="10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7、显微镜主机：智能型主机带状态指示灯的照明切换按钮、图像捕捉按钮、内置检偏镜插槽、标准安装编码转盘，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彩色编码光圈辅助装置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,使得物镜与孔径光圈完美结合，分辨率、对比度以及景深的基本设置能够精确设定，达到最优化的分辨率和对比度，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机身表面具备抗菌处理。</w:t>
      </w:r>
    </w:p>
    <w:p w14:paraId="3BDA0048">
      <w:pPr>
        <w:pStyle w:val="8"/>
        <w:spacing w:before="1" w:line="360" w:lineRule="auto"/>
        <w:ind w:left="124" w:right="437" w:firstLine="10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8、嵌入式调焦限位装置；三齿轮对焦装置，粗、中、细三级同轴调焦，最高调焦精度1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μ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m。具备刻度线引导标识，实现快速聚焦，最大可放置样品高度≥25mm。</w:t>
      </w:r>
    </w:p>
    <w:p w14:paraId="062FE833">
      <w:pPr>
        <w:pStyle w:val="8"/>
        <w:spacing w:before="1" w:line="360" w:lineRule="auto"/>
        <w:ind w:left="124" w:right="437" w:firstLine="10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9、360°偏光旋转台，带滚珠轴承，可旋转夹紧，直径178毫米，配有2个0.1°游标，带台架和聚光镜支架，另配有45°卡位，用于快速设置测量时的对角位置，标本夹XY移动范围50*40mm。</w:t>
      </w:r>
    </w:p>
    <w:p w14:paraId="2EDEA91E">
      <w:pPr>
        <w:pStyle w:val="8"/>
        <w:numPr>
          <w:ilvl w:val="0"/>
          <w:numId w:val="2"/>
        </w:numPr>
        <w:spacing w:before="1" w:line="360" w:lineRule="auto"/>
        <w:ind w:left="124" w:right="437" w:firstLine="10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内置于主机的研究级科勒照明系统，高强度高分辨率LED白光冷光源，环保低能耗；保证提供足够照明，达到统一和可恒定的最佳对比度和衬度最终得到高质量图像，减少人</w:t>
      </w:r>
      <w:r>
        <w:rPr>
          <w:color w:val="auto"/>
          <w:sz w:val="24"/>
          <w:szCs w:val="24"/>
          <w:highlight w:val="none"/>
          <w:lang w:eastAsia="zh-CN"/>
        </w:rPr>
        <w:t>为误差。光源寿命75000小时以上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。</w:t>
      </w:r>
    </w:p>
    <w:p w14:paraId="72AF6B3F">
      <w:pPr>
        <w:pStyle w:val="8"/>
        <w:numPr>
          <w:numId w:val="0"/>
        </w:numPr>
        <w:spacing w:before="1" w:line="360" w:lineRule="auto"/>
        <w:ind w:left="134" w:leftChars="0" w:right="437" w:rightChars="0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11、偏光模块：配备180度旋转式检片镜，反射起偏镜，360°旋转透射起偏器。</w:t>
      </w:r>
    </w:p>
    <w:p w14:paraId="689F1169">
      <w:pPr>
        <w:pStyle w:val="8"/>
        <w:spacing w:before="1" w:line="360" w:lineRule="auto"/>
        <w:ind w:left="124" w:right="437" w:firstLine="10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12、相机：像素≥2000万像素(分辨率≥5440x3648),彩色COM芯片靶面尺寸≥1英寸，最高帧率≥67fps。</w:t>
      </w:r>
    </w:p>
    <w:p w14:paraId="03DBF22B">
      <w:pPr>
        <w:pStyle w:val="8"/>
        <w:spacing w:before="1" w:line="360" w:lineRule="auto"/>
        <w:ind w:left="124" w:right="437" w:firstLine="10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13、软件功能：一体化系统设计，与显微镜硬件及配套外设无缝连接，操作界面简洁、轻松设定和测量，一键统计分析、自动报表。</w:t>
      </w:r>
    </w:p>
    <w:p w14:paraId="508DA6D6">
      <w:pPr>
        <w:pStyle w:val="8"/>
        <w:spacing w:before="1" w:line="360" w:lineRule="auto"/>
        <w:ind w:left="124" w:right="437" w:firstLine="10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(1)控制相机及编码物镜转盘，实现放大倍数、标尺、图像三位一体联动。</w:t>
      </w:r>
    </w:p>
    <w:p w14:paraId="6A56318A">
      <w:pPr>
        <w:pStyle w:val="8"/>
        <w:spacing w:before="1" w:line="360" w:lineRule="auto"/>
        <w:ind w:left="124" w:right="437" w:firstLine="10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(2)调节并记录显微镜亮度，可实现拍照条件再现。</w:t>
      </w:r>
    </w:p>
    <w:p w14:paraId="228F3710">
      <w:pPr>
        <w:pStyle w:val="8"/>
        <w:spacing w:before="1" w:line="360" w:lineRule="auto"/>
        <w:ind w:left="124" w:right="437" w:firstLine="10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(3)支持相机实时成像，并根据显微镜当前物镜、分辨率及变倍情况，实时显示标尺长度、图像信息。</w:t>
      </w:r>
    </w:p>
    <w:p w14:paraId="4FCB2170">
      <w:pPr>
        <w:pStyle w:val="8"/>
        <w:spacing w:before="1" w:line="360" w:lineRule="auto"/>
        <w:ind w:left="124" w:right="437" w:firstLine="10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(4)支持手动景深拓展和手动XY拼图。</w:t>
      </w:r>
    </w:p>
    <w:p w14:paraId="015B6F2F">
      <w:pPr>
        <w:pStyle w:val="8"/>
        <w:spacing w:before="1" w:line="360" w:lineRule="auto"/>
        <w:ind w:left="124" w:right="437" w:firstLine="10"/>
        <w:rPr>
          <w:rFonts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(5)提供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多种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测量功能包括：两点间距、卡尺间距、点线间距、圆、弧、角、矩形、圆心距、线间距、片间距、区域、焊接A字线、焊核双垂线、自动线宽、真圆度等工具，可满足各种测量需求。</w:t>
      </w:r>
    </w:p>
    <w:p w14:paraId="3B16FE48">
      <w:pPr>
        <w:pStyle w:val="8"/>
        <w:spacing w:before="1" w:line="360" w:lineRule="auto"/>
        <w:ind w:left="124" w:right="437" w:firstLine="10"/>
        <w:rPr>
          <w:color w:val="auto"/>
          <w:spacing w:val="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eastAsia="zh-CN"/>
        </w:rPr>
        <w:t>14、品牌台式电脑，配置不低于(I7+16G+1T硬盘+32寸的4K分辨率超清显示器)。</w:t>
      </w:r>
    </w:p>
    <w:p w14:paraId="79D8CC72">
      <w:pPr>
        <w:spacing w:line="360" w:lineRule="auto"/>
        <w:rPr>
          <w:rFonts w:asciiTheme="majorEastAsia" w:hAnsiTheme="majorEastAsia" w:eastAsiaTheme="majorEastAsia" w:cstheme="majorEastAsia"/>
          <w:b/>
          <w:bCs/>
          <w:color w:val="auto"/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highlight w:val="none"/>
        </w:rPr>
        <w:t>（二）主要配置及附属设备</w:t>
      </w:r>
    </w:p>
    <w:tbl>
      <w:tblPr>
        <w:tblStyle w:val="9"/>
        <w:tblW w:w="9000" w:type="dxa"/>
        <w:tblInd w:w="3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0"/>
        <w:gridCol w:w="4780"/>
        <w:gridCol w:w="2480"/>
      </w:tblGrid>
      <w:tr w14:paraId="64FD2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740" w:type="dxa"/>
            <w:vAlign w:val="center"/>
          </w:tcPr>
          <w:p w14:paraId="77B0E430">
            <w:pPr>
              <w:pStyle w:val="8"/>
              <w:spacing w:before="88" w:line="221" w:lineRule="auto"/>
              <w:ind w:left="45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7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4780" w:type="dxa"/>
            <w:vAlign w:val="center"/>
          </w:tcPr>
          <w:p w14:paraId="45510782">
            <w:pPr>
              <w:pStyle w:val="8"/>
              <w:spacing w:before="91" w:line="222" w:lineRule="auto"/>
              <w:ind w:left="70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-3"/>
                <w:sz w:val="24"/>
                <w:szCs w:val="24"/>
                <w:highlight w:val="none"/>
              </w:rPr>
              <w:t>配置</w:t>
            </w:r>
          </w:p>
        </w:tc>
        <w:tc>
          <w:tcPr>
            <w:tcW w:w="2480" w:type="dxa"/>
            <w:vAlign w:val="center"/>
          </w:tcPr>
          <w:p w14:paraId="16CD3527">
            <w:pPr>
              <w:pStyle w:val="8"/>
              <w:spacing w:before="86" w:line="219" w:lineRule="auto"/>
              <w:ind w:left="84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4"/>
                <w:sz w:val="24"/>
                <w:szCs w:val="24"/>
                <w:highlight w:val="none"/>
              </w:rPr>
              <w:t>数量</w:t>
            </w:r>
          </w:p>
        </w:tc>
      </w:tr>
      <w:tr w14:paraId="27A4B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740" w:type="dxa"/>
            <w:vAlign w:val="center"/>
          </w:tcPr>
          <w:p w14:paraId="30D018DB">
            <w:pPr>
              <w:pStyle w:val="8"/>
              <w:spacing w:before="110" w:line="215" w:lineRule="auto"/>
              <w:ind w:left="45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4780" w:type="dxa"/>
          </w:tcPr>
          <w:p w14:paraId="10382B66">
            <w:pPr>
              <w:pStyle w:val="8"/>
              <w:spacing w:before="87" w:line="219" w:lineRule="auto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1"/>
                <w:sz w:val="24"/>
                <w:szCs w:val="24"/>
                <w:highlight w:val="none"/>
              </w:rPr>
              <w:t>显微镜主机</w:t>
            </w:r>
          </w:p>
        </w:tc>
        <w:tc>
          <w:tcPr>
            <w:tcW w:w="2480" w:type="dxa"/>
            <w:vAlign w:val="center"/>
          </w:tcPr>
          <w:p w14:paraId="147BB393">
            <w:pPr>
              <w:pStyle w:val="8"/>
              <w:spacing w:before="110" w:line="215" w:lineRule="auto"/>
              <w:ind w:left="84"/>
              <w:jc w:val="center"/>
              <w:rPr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1个</w:t>
            </w:r>
          </w:p>
        </w:tc>
      </w:tr>
      <w:tr w14:paraId="7579E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740" w:type="dxa"/>
            <w:vAlign w:val="center"/>
          </w:tcPr>
          <w:p w14:paraId="67EE3E77">
            <w:pPr>
              <w:pStyle w:val="8"/>
              <w:spacing w:before="110" w:line="215" w:lineRule="auto"/>
              <w:ind w:left="45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4780" w:type="dxa"/>
          </w:tcPr>
          <w:p w14:paraId="601A6F09">
            <w:pPr>
              <w:pStyle w:val="8"/>
              <w:spacing w:before="125" w:line="216" w:lineRule="auto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-10"/>
                <w:sz w:val="24"/>
                <w:szCs w:val="24"/>
                <w:highlight w:val="none"/>
              </w:rPr>
              <w:t>2.5</w:t>
            </w:r>
            <w:r>
              <w:rPr>
                <w:color w:val="auto"/>
                <w:spacing w:val="-9"/>
                <w:sz w:val="24"/>
                <w:szCs w:val="24"/>
                <w:highlight w:val="none"/>
              </w:rPr>
              <w:t>X、5X、10X、20X、50X,100</w:t>
            </w:r>
            <w:r>
              <w:rPr>
                <w:color w:val="auto"/>
                <w:spacing w:val="-6"/>
                <w:sz w:val="24"/>
                <w:szCs w:val="24"/>
                <w:highlight w:val="none"/>
              </w:rPr>
              <w:t>X</w:t>
            </w:r>
          </w:p>
        </w:tc>
        <w:tc>
          <w:tcPr>
            <w:tcW w:w="2480" w:type="dxa"/>
            <w:vAlign w:val="center"/>
          </w:tcPr>
          <w:p w14:paraId="199353E6">
            <w:pPr>
              <w:pStyle w:val="8"/>
              <w:spacing w:before="110" w:line="215" w:lineRule="auto"/>
              <w:ind w:left="84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4"/>
                <w:sz w:val="24"/>
                <w:szCs w:val="24"/>
                <w:highlight w:val="none"/>
              </w:rPr>
              <w:t>6个物</w:t>
            </w:r>
            <w:r>
              <w:rPr>
                <w:color w:val="auto"/>
                <w:sz w:val="24"/>
                <w:szCs w:val="24"/>
                <w:highlight w:val="none"/>
              </w:rPr>
              <w:t>镜</w:t>
            </w:r>
          </w:p>
        </w:tc>
      </w:tr>
      <w:tr w14:paraId="45A76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740" w:type="dxa"/>
            <w:vAlign w:val="center"/>
          </w:tcPr>
          <w:p w14:paraId="6813B1A6">
            <w:pPr>
              <w:pStyle w:val="8"/>
              <w:spacing w:before="110" w:line="215" w:lineRule="auto"/>
              <w:ind w:left="45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4780" w:type="dxa"/>
            <w:vAlign w:val="center"/>
          </w:tcPr>
          <w:p w14:paraId="30439866">
            <w:pPr>
              <w:pStyle w:val="8"/>
              <w:spacing w:before="87" w:line="220" w:lineRule="auto"/>
              <w:ind w:left="70"/>
              <w:jc w:val="center"/>
              <w:rPr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color w:val="auto"/>
                <w:spacing w:val="1"/>
                <w:sz w:val="24"/>
                <w:szCs w:val="24"/>
                <w:highlight w:val="none"/>
                <w:lang w:eastAsia="zh-CN"/>
              </w:rPr>
              <w:t>专业显微镜高分辨摄像头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eastAsia="zh-CN"/>
              </w:rPr>
              <w:t>≥</w:t>
            </w:r>
            <w:r>
              <w:rPr>
                <w:color w:val="auto"/>
                <w:spacing w:val="1"/>
                <w:sz w:val="24"/>
                <w:szCs w:val="24"/>
                <w:highlight w:val="none"/>
                <w:lang w:eastAsia="zh-CN"/>
              </w:rPr>
              <w:t>2000W像素</w:t>
            </w:r>
          </w:p>
        </w:tc>
        <w:tc>
          <w:tcPr>
            <w:tcW w:w="2480" w:type="dxa"/>
            <w:vAlign w:val="center"/>
          </w:tcPr>
          <w:p w14:paraId="58021329">
            <w:pPr>
              <w:pStyle w:val="8"/>
              <w:spacing w:before="110" w:line="215" w:lineRule="auto"/>
              <w:ind w:left="84"/>
              <w:jc w:val="center"/>
              <w:rPr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个</w:t>
            </w:r>
          </w:p>
        </w:tc>
      </w:tr>
      <w:tr w14:paraId="211C0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740" w:type="dxa"/>
            <w:vAlign w:val="center"/>
          </w:tcPr>
          <w:p w14:paraId="4267B9C6">
            <w:pPr>
              <w:pStyle w:val="8"/>
              <w:spacing w:before="101" w:line="206" w:lineRule="auto"/>
              <w:ind w:left="45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4780" w:type="dxa"/>
            <w:vAlign w:val="center"/>
          </w:tcPr>
          <w:p w14:paraId="4553B6EF">
            <w:pPr>
              <w:pStyle w:val="8"/>
              <w:spacing w:before="76" w:line="360" w:lineRule="auto"/>
              <w:ind w:left="70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1"/>
                <w:highlight w:val="none"/>
              </w:rPr>
              <w:t xml:space="preserve">品牌台式电脑，配置不低于 </w:t>
            </w:r>
            <w:r>
              <w:rPr>
                <w:color w:val="auto"/>
                <w:spacing w:val="5"/>
                <w:highlight w:val="none"/>
              </w:rPr>
              <w:t>(I7+16G+1T硬盘+32寸的4K</w:t>
            </w:r>
            <w:r>
              <w:rPr>
                <w:color w:val="auto"/>
                <w:spacing w:val="13"/>
                <w:highlight w:val="none"/>
              </w:rPr>
              <w:t xml:space="preserve"> </w:t>
            </w:r>
            <w:r>
              <w:rPr>
                <w:color w:val="auto"/>
                <w:spacing w:val="5"/>
                <w:highlight w:val="none"/>
              </w:rPr>
              <w:t>分辨率超清显示器)</w:t>
            </w:r>
          </w:p>
        </w:tc>
        <w:tc>
          <w:tcPr>
            <w:tcW w:w="2480" w:type="dxa"/>
            <w:vAlign w:val="center"/>
          </w:tcPr>
          <w:p w14:paraId="49C67DD2">
            <w:pPr>
              <w:pStyle w:val="8"/>
              <w:spacing w:before="101" w:line="360" w:lineRule="auto"/>
              <w:ind w:left="84"/>
              <w:jc w:val="center"/>
              <w:rPr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套</w:t>
            </w:r>
          </w:p>
        </w:tc>
      </w:tr>
      <w:tr w14:paraId="57FE1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740" w:type="dxa"/>
            <w:vAlign w:val="center"/>
          </w:tcPr>
          <w:p w14:paraId="4BC55FE0">
            <w:pPr>
              <w:pStyle w:val="8"/>
              <w:spacing w:before="101" w:line="206" w:lineRule="auto"/>
              <w:ind w:left="45"/>
              <w:jc w:val="center"/>
              <w:rPr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5</w:t>
            </w:r>
          </w:p>
        </w:tc>
        <w:tc>
          <w:tcPr>
            <w:tcW w:w="4780" w:type="dxa"/>
          </w:tcPr>
          <w:p w14:paraId="69EBE686">
            <w:pPr>
              <w:pStyle w:val="8"/>
              <w:spacing w:before="131" w:line="198" w:lineRule="auto"/>
              <w:jc w:val="center"/>
              <w:rPr>
                <w:color w:val="auto"/>
                <w:spacing w:val="2"/>
                <w:sz w:val="24"/>
                <w:szCs w:val="24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 xml:space="preserve"> LED灯箱(透射和反射)</w:t>
            </w:r>
          </w:p>
        </w:tc>
        <w:tc>
          <w:tcPr>
            <w:tcW w:w="2480" w:type="dxa"/>
            <w:vAlign w:val="center"/>
          </w:tcPr>
          <w:p w14:paraId="2BFCBB33">
            <w:pPr>
              <w:pStyle w:val="8"/>
              <w:spacing w:before="101" w:line="206" w:lineRule="auto"/>
              <w:ind w:left="84"/>
              <w:jc w:val="center"/>
              <w:rPr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1个</w:t>
            </w:r>
          </w:p>
        </w:tc>
      </w:tr>
      <w:tr w14:paraId="794F5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740" w:type="dxa"/>
            <w:vAlign w:val="center"/>
          </w:tcPr>
          <w:p w14:paraId="104C78EF">
            <w:pPr>
              <w:pStyle w:val="8"/>
              <w:spacing w:before="101" w:line="206" w:lineRule="auto"/>
              <w:ind w:left="45"/>
              <w:jc w:val="center"/>
              <w:rPr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6</w:t>
            </w:r>
          </w:p>
        </w:tc>
        <w:tc>
          <w:tcPr>
            <w:tcW w:w="4780" w:type="dxa"/>
          </w:tcPr>
          <w:p w14:paraId="37FFE83D">
            <w:pPr>
              <w:pStyle w:val="8"/>
              <w:spacing w:before="114" w:line="249" w:lineRule="auto"/>
              <w:ind w:left="20" w:hanging="9"/>
              <w:jc w:val="center"/>
              <w:rPr>
                <w:color w:val="auto"/>
                <w:spacing w:val="2"/>
                <w:sz w:val="24"/>
                <w:szCs w:val="24"/>
                <w:highlight w:val="none"/>
              </w:rPr>
            </w:pPr>
            <w:r>
              <w:rPr>
                <w:color w:val="auto"/>
                <w:spacing w:val="-6"/>
                <w:highlight w:val="none"/>
              </w:rPr>
              <w:t>专业测量分析</w:t>
            </w:r>
            <w:r>
              <w:rPr>
                <w:color w:val="auto"/>
                <w:spacing w:val="5"/>
                <w:highlight w:val="none"/>
              </w:rPr>
              <w:t>软件</w:t>
            </w:r>
          </w:p>
        </w:tc>
        <w:tc>
          <w:tcPr>
            <w:tcW w:w="2480" w:type="dxa"/>
            <w:vAlign w:val="center"/>
          </w:tcPr>
          <w:p w14:paraId="4367BCE8">
            <w:pPr>
              <w:pStyle w:val="8"/>
              <w:spacing w:before="101" w:line="206" w:lineRule="auto"/>
              <w:ind w:left="84"/>
              <w:jc w:val="center"/>
              <w:rPr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1套</w:t>
            </w:r>
          </w:p>
        </w:tc>
      </w:tr>
      <w:tr w14:paraId="4E9D0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740" w:type="dxa"/>
            <w:vAlign w:val="center"/>
          </w:tcPr>
          <w:p w14:paraId="7FE1E5FE">
            <w:pPr>
              <w:pStyle w:val="8"/>
              <w:spacing w:before="101" w:line="206" w:lineRule="auto"/>
              <w:ind w:left="45"/>
              <w:jc w:val="center"/>
              <w:rPr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7</w:t>
            </w:r>
          </w:p>
        </w:tc>
        <w:tc>
          <w:tcPr>
            <w:tcW w:w="4780" w:type="dxa"/>
          </w:tcPr>
          <w:p w14:paraId="7FC7FD02">
            <w:pPr>
              <w:pStyle w:val="8"/>
              <w:spacing w:before="112" w:line="205" w:lineRule="auto"/>
              <w:jc w:val="center"/>
              <w:rPr>
                <w:color w:val="auto"/>
                <w:spacing w:val="2"/>
                <w:sz w:val="24"/>
                <w:szCs w:val="24"/>
                <w:highlight w:val="none"/>
                <w:lang w:eastAsia="zh-CN"/>
              </w:rPr>
            </w:pPr>
            <w:r>
              <w:rPr>
                <w:color w:val="auto"/>
                <w:spacing w:val="1"/>
                <w:highlight w:val="none"/>
                <w:lang w:eastAsia="zh-CN"/>
              </w:rPr>
              <w:t>固定暗场反射器、反射光起偏器</w:t>
            </w:r>
          </w:p>
        </w:tc>
        <w:tc>
          <w:tcPr>
            <w:tcW w:w="2480" w:type="dxa"/>
            <w:vAlign w:val="center"/>
          </w:tcPr>
          <w:p w14:paraId="60DC4C3E">
            <w:pPr>
              <w:pStyle w:val="8"/>
              <w:spacing w:before="101" w:line="206" w:lineRule="auto"/>
              <w:ind w:left="84"/>
              <w:jc w:val="center"/>
              <w:rPr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1套</w:t>
            </w:r>
          </w:p>
        </w:tc>
      </w:tr>
    </w:tbl>
    <w:p w14:paraId="7A8AF762">
      <w:pPr>
        <w:pStyle w:val="8"/>
        <w:spacing w:before="1" w:line="236" w:lineRule="auto"/>
        <w:ind w:left="124" w:right="437" w:firstLine="10"/>
        <w:rPr>
          <w:color w:val="auto"/>
          <w:spacing w:val="4"/>
          <w:highlight w:val="none"/>
          <w:lang w:eastAsia="zh-CN"/>
        </w:rPr>
      </w:pPr>
    </w:p>
    <w:sectPr>
      <w:pgSz w:w="11906" w:h="16838"/>
      <w:pgMar w:top="1440" w:right="1349" w:bottom="1440" w:left="134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4732F0"/>
    <w:multiLevelType w:val="singleLevel"/>
    <w:tmpl w:val="2B4732F0"/>
    <w:lvl w:ilvl="0" w:tentative="0">
      <w:start w:val="10"/>
      <w:numFmt w:val="decimal"/>
      <w:suff w:val="nothing"/>
      <w:lvlText w:val="%1、"/>
      <w:lvlJc w:val="left"/>
    </w:lvl>
  </w:abstractNum>
  <w:abstractNum w:abstractNumId="1">
    <w:nsid w:val="5A798A35"/>
    <w:multiLevelType w:val="singleLevel"/>
    <w:tmpl w:val="5A798A3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4B0928"/>
    <w:rsid w:val="000612C7"/>
    <w:rsid w:val="000D2350"/>
    <w:rsid w:val="00235E44"/>
    <w:rsid w:val="002A0A75"/>
    <w:rsid w:val="006F67A1"/>
    <w:rsid w:val="008E2D06"/>
    <w:rsid w:val="00BC0056"/>
    <w:rsid w:val="00BE4B9B"/>
    <w:rsid w:val="00E3375E"/>
    <w:rsid w:val="00F23BC9"/>
    <w:rsid w:val="00F735A9"/>
    <w:rsid w:val="01F9035B"/>
    <w:rsid w:val="0303230D"/>
    <w:rsid w:val="06826B71"/>
    <w:rsid w:val="095571FB"/>
    <w:rsid w:val="15D55160"/>
    <w:rsid w:val="204B0928"/>
    <w:rsid w:val="214A0F93"/>
    <w:rsid w:val="21C11D2D"/>
    <w:rsid w:val="27BA1D6E"/>
    <w:rsid w:val="335B24A7"/>
    <w:rsid w:val="37FC3886"/>
    <w:rsid w:val="3B1C3C97"/>
    <w:rsid w:val="48B748B9"/>
    <w:rsid w:val="49BE9668"/>
    <w:rsid w:val="4A9842B7"/>
    <w:rsid w:val="4C302C08"/>
    <w:rsid w:val="4CE27CFA"/>
    <w:rsid w:val="53F817ED"/>
    <w:rsid w:val="54E3416B"/>
    <w:rsid w:val="58BC37A7"/>
    <w:rsid w:val="5FEFE6BB"/>
    <w:rsid w:val="6B371C04"/>
    <w:rsid w:val="71D90D53"/>
    <w:rsid w:val="77971FDB"/>
    <w:rsid w:val="7BC58F1A"/>
    <w:rsid w:val="7FBEA6F6"/>
    <w:rsid w:val="7FFEEBBA"/>
    <w:rsid w:val="9C96D8A9"/>
    <w:rsid w:val="D9FFA3D5"/>
    <w:rsid w:val="DFEEFF78"/>
    <w:rsid w:val="E5E39842"/>
    <w:rsid w:val="F77CE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annotation subject"/>
    <w:basedOn w:val="2"/>
    <w:next w:val="2"/>
    <w:link w:val="11"/>
    <w:qFormat/>
    <w:uiPriority w:val="0"/>
    <w:rPr>
      <w:b/>
      <w:bCs/>
    </w:rPr>
  </w:style>
  <w:style w:type="character" w:styleId="7">
    <w:name w:val="annotation reference"/>
    <w:basedOn w:val="6"/>
    <w:qFormat/>
    <w:uiPriority w:val="0"/>
    <w:rPr>
      <w:sz w:val="21"/>
      <w:szCs w:val="21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eastAsia="en-US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批注文字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1">
    <w:name w:val="批注主题 Char"/>
    <w:basedOn w:val="10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2">
    <w:name w:val="批注框文本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2211</Words>
  <Characters>2483</Characters>
  <Lines>19</Lines>
  <Paragraphs>5</Paragraphs>
  <TotalTime>10</TotalTime>
  <ScaleCrop>false</ScaleCrop>
  <LinksUpToDate>false</LinksUpToDate>
  <CharactersWithSpaces>2497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2026-08-24T01:28:00Z</dcterms:created>
  <dc:creator>逐梦黑白`</dc:creator>
  <cp:lastModifiedBy>逐梦黑白`</cp:lastModifiedBy>
  <dcterms:modified xsi:type="dcterms:W3CDTF">2026-08-28T06:30:03Z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9B4E64B2FA1C4CF49E131C30E2355358_13</vt:lpwstr>
  </property>
  <property fmtid="{D5CDD505-2E9C-101B-9397-08002B2CF9AE}" pid="4" name="KSOTemplateDocerSaveRecord">
    <vt:lpwstr>eyJoZGlkIjoiNDFlZDg2ZWVjZWVjODRlYzc2NTMxNGIzZjcxY2JkNzAiLCJ1c2VySWQiOiI5ODQ0MzE2OTgifQ==</vt:lpwstr>
  </property>
</Properties>
</file>