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right="0"/>
        <w:jc w:val="left"/>
        <w:textAlignment w:val="baseline"/>
        <w:rPr>
          <w:rFonts w:hint="default" w:ascii="Arial" w:hAnsi="Arial" w:eastAsia="宋体" w:cs="Arial"/>
          <w:b w:val="0"/>
          <w:bCs w:val="0"/>
          <w:i w:val="0"/>
          <w:iCs w:val="0"/>
          <w:color w:val="000000"/>
          <w:kern w:val="0"/>
          <w:sz w:val="32"/>
          <w:szCs w:val="32"/>
          <w:u w:val="none"/>
          <w:lang w:val="en-US" w:eastAsia="zh-CN" w:bidi="ar"/>
        </w:rPr>
      </w:pPr>
      <w:r>
        <w:rPr>
          <w:rFonts w:hint="eastAsia" w:ascii="Arial" w:hAnsi="Arial" w:eastAsia="宋体" w:cs="Arial"/>
          <w:b w:val="0"/>
          <w:bCs w:val="0"/>
          <w:i w:val="0"/>
          <w:iCs w:val="0"/>
          <w:color w:val="000000"/>
          <w:kern w:val="0"/>
          <w:sz w:val="32"/>
          <w:szCs w:val="32"/>
          <w:u w:val="none"/>
          <w:lang w:val="en-US" w:eastAsia="zh-CN" w:bidi="ar"/>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right="0"/>
        <w:jc w:val="center"/>
        <w:textAlignment w:val="baseline"/>
        <w:rPr>
          <w:rFonts w:hint="default" w:ascii="仿宋" w:hAnsi="仿宋" w:eastAsia="仿宋" w:cs="仿宋"/>
          <w:b/>
          <w:bCs/>
          <w:caps w:val="0"/>
          <w:color w:val="00000A"/>
          <w:spacing w:val="0"/>
          <w:sz w:val="31"/>
          <w:szCs w:val="31"/>
          <w:vertAlign w:val="baseline"/>
          <w:lang w:val="en-US" w:eastAsia="zh-CN"/>
        </w:rPr>
      </w:pPr>
      <w:r>
        <w:rPr>
          <w:rFonts w:hint="eastAsia" w:ascii="Arial" w:hAnsi="Arial" w:eastAsia="宋体" w:cs="Arial"/>
          <w:b/>
          <w:bCs/>
          <w:i w:val="0"/>
          <w:iCs w:val="0"/>
          <w:color w:val="000000"/>
          <w:kern w:val="0"/>
          <w:sz w:val="32"/>
          <w:szCs w:val="32"/>
          <w:u w:val="none"/>
          <w:lang w:val="en-US" w:eastAsia="zh-CN" w:bidi="ar"/>
        </w:rPr>
        <w:t>申报项目公示内容（成果奖）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right="0" w:firstLine="622" w:firstLineChars="200"/>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b/>
          <w:bCs/>
          <w:caps w:val="0"/>
          <w:color w:val="00000A"/>
          <w:spacing w:val="0"/>
          <w:sz w:val="31"/>
          <w:szCs w:val="31"/>
          <w:vertAlign w:val="baseline"/>
          <w:lang w:val="en-US" w:eastAsia="zh-CN"/>
        </w:rPr>
        <w:t>项目名称：</w:t>
      </w:r>
      <w:r>
        <w:rPr>
          <w:rFonts w:hint="eastAsia" w:ascii="仿宋" w:hAnsi="仿宋" w:eastAsia="仿宋" w:cs="仿宋"/>
          <w:caps w:val="0"/>
          <w:color w:val="00000A"/>
          <w:spacing w:val="0"/>
          <w:sz w:val="31"/>
          <w:szCs w:val="31"/>
          <w:vertAlign w:val="baseline"/>
          <w:lang w:val="en-US" w:eastAsia="zh-CN"/>
        </w:rPr>
        <w:t>超细多孔二氧化硅的可控制备关键技术与装置研发及应用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default" w:ascii="仿宋" w:hAnsi="仿宋" w:eastAsia="仿宋" w:cs="仿宋"/>
          <w:caps w:val="0"/>
          <w:color w:val="00000A"/>
          <w:spacing w:val="0"/>
          <w:sz w:val="31"/>
          <w:szCs w:val="31"/>
          <w:vertAlign w:val="baseline"/>
          <w:lang w:val="en-US" w:eastAsia="zh-CN"/>
        </w:rPr>
      </w:pPr>
      <w:r>
        <w:rPr>
          <w:rFonts w:hint="eastAsia" w:ascii="仿宋" w:hAnsi="仿宋" w:eastAsia="仿宋" w:cs="仿宋"/>
          <w:b/>
          <w:bCs/>
          <w:caps w:val="0"/>
          <w:color w:val="00000A"/>
          <w:spacing w:val="0"/>
          <w:sz w:val="31"/>
          <w:szCs w:val="31"/>
          <w:vertAlign w:val="baseline"/>
          <w:lang w:val="en-US" w:eastAsia="zh-CN"/>
        </w:rPr>
        <w:t>提名奖种：</w:t>
      </w:r>
      <w:r>
        <w:rPr>
          <w:rFonts w:hint="eastAsia" w:ascii="仿宋" w:hAnsi="仿宋" w:eastAsia="仿宋" w:cs="仿宋"/>
          <w:caps w:val="0"/>
          <w:color w:val="00000A"/>
          <w:spacing w:val="0"/>
          <w:sz w:val="31"/>
          <w:szCs w:val="31"/>
          <w:vertAlign w:val="baseline"/>
          <w:lang w:val="en-US" w:eastAsia="zh-CN"/>
        </w:rPr>
        <w:t>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b/>
          <w:bCs/>
          <w:caps w:val="0"/>
          <w:color w:val="00000A"/>
          <w:spacing w:val="0"/>
          <w:sz w:val="31"/>
          <w:szCs w:val="31"/>
          <w:vertAlign w:val="baseline"/>
          <w:lang w:val="en-US" w:eastAsia="zh-CN"/>
        </w:rPr>
        <w:t>项目简介：</w:t>
      </w:r>
      <w:r>
        <w:rPr>
          <w:rFonts w:hint="eastAsia" w:ascii="仿宋" w:hAnsi="仿宋" w:eastAsia="仿宋" w:cs="仿宋"/>
          <w:caps w:val="0"/>
          <w:color w:val="00000A"/>
          <w:spacing w:val="0"/>
          <w:sz w:val="31"/>
          <w:szCs w:val="31"/>
          <w:vertAlign w:val="baseline"/>
          <w:lang w:val="en-US" w:eastAsia="zh-CN"/>
        </w:rPr>
        <w:t>本项目在已有研究基础上，通过联合相关企业，对高纯超细电子级二氧化硅的制备技术进行更深入和系统的研究，并最终实现其产业化的生产。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一、主要技术内容：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 xml:space="preserve">1、本项目自主设计带高压氮气和高压蒸汽进气管的离子交换树脂塔，将硅酸钠水溶液（水玻璃）依次经过阳离子交换树脂、阴离子交换树脂、阳离子交换树脂进行深度吸附处理，去除金属离子，得到硅溶胶，升温处理得到高纯度二氧化硅凝胶，为后期高纯二氧化硅的制备提供原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 xml:space="preserve">2、设计开发了水合二氧化硅制备用循环缸式压滤机，其具备有若干个可同时运作用于压滤生产的压滤缸，且多个压滤缸中的压滤活塞通过多组连杆和曲轴由同一循环驱动电机驱动运转，实际生产工作时，循环驱动电机连续转动，依次带动若干多个压滤活塞在不同行程推压活动，外部原料可对多个压滤缸依次轮流加料，进而可使得设备各个部分待命状态时间大大缩小，从而提高设备生产工作效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 xml:space="preserve">3、设计了锥体结构的打浆机，体积小，打浆速度快、均匀性好，并可连续性操作生产，提高生产效率。将打浆和洗涤后的滤饼通过干燥、粉碎、除锈后得到高纯超细电子级沉淀水合二氧化硅，自主设计的除锈装置可以进一步降低金属离子的含量。设计开发超细二氧化硅生产用的取样装置、加工用的供料机构和吨袋自动包装装置可以实现生产过程的自动化、精确化、低成本化和安全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4、采用高-低浓度硅酸钠为复配组合原料，以高浓度的硅酸钠在酸性条件下制备的二氧化硅作为核心，并采用低浓度的硅酸钠在酸性条件下进行反应使新生成的二氧化硅接枝到核心上，通过保温、解聚、水洗、以乙醇为分散剂进行高速分散打浆、喷雾干燥等过程制备高比表面积大孔容二氧化硅，通过调节高浓度的硅酸钠和低浓度硅酸钠的用量和配比，打浆与老化工艺，实现对粒径、比表面积和孔容的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二、授权专利情况：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 xml:space="preserve">    项目获得授权发明专利4件，实用新型专利6件，参与制定行业标准1项。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三、技术经济指标：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 xml:space="preserve">    利用本项目技术制得的超细高纯沉淀水合二氧化硅(白炭黑)：二氧化硅含量≥99%，平均粒径≤10μm，金属离子含量≤0.025%；利用本项目技术制得的高比表面积大孔容二氧化硅：BET≥240m2/g、孔容&gt;2mL/g、吸油值&gt;2.5g/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四、应用推广及效益情况：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 xml:space="preserve">    本研究技术成果首先在福建同晟新材料科技股份公司、福建省沙县金沙白炭黑制造有限公司等大型沉淀法白炭黑企业实施，用于指导高性能白炭黑的生产。通过本产品的产业化实施，已形成年产1万吨高纯超细白炭黑及年产2余万吨的高比表面积、大孔容白炭黑生产线。本项目制备的白炭黑可应用于电子电器、蓄电池隔板、医药食品和饲料添加剂、分离膜等多个方面。项目的实施对企业提高白炭黑性能，降低生产成本，提高企业竞争实力具有重要作用，对推动我国新材料研发、提升白炭黑生产企业的整体技术水平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default"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 xml:space="preserve">  项目从正式实施至今，为企业创造显著经济效益，近三年新增产值4.67亿元，产量6.55 万吨，利税5563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b/>
          <w:bCs/>
          <w:caps w:val="0"/>
          <w:color w:val="00000A"/>
          <w:spacing w:val="0"/>
          <w:sz w:val="31"/>
          <w:szCs w:val="31"/>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b/>
          <w:bCs/>
          <w:caps w:val="0"/>
          <w:color w:val="00000A"/>
          <w:spacing w:val="0"/>
          <w:sz w:val="31"/>
          <w:szCs w:val="31"/>
          <w:vertAlign w:val="baseline"/>
          <w:lang w:val="en-US" w:eastAsia="zh-CN"/>
        </w:rPr>
      </w:pPr>
      <w:r>
        <w:rPr>
          <w:rFonts w:hint="eastAsia" w:ascii="仿宋" w:hAnsi="仿宋" w:eastAsia="仿宋" w:cs="仿宋"/>
          <w:b/>
          <w:bCs/>
          <w:caps w:val="0"/>
          <w:color w:val="00000A"/>
          <w:spacing w:val="0"/>
          <w:sz w:val="31"/>
          <w:szCs w:val="31"/>
          <w:vertAlign w:val="baseline"/>
          <w:lang w:val="en-US" w:eastAsia="zh-CN"/>
        </w:rPr>
        <w:t>主要完成人：</w:t>
      </w:r>
    </w:p>
    <w:tbl>
      <w:tblPr>
        <w:tblStyle w:val="3"/>
        <w:tblpPr w:leftFromText="180" w:rightFromText="180" w:vertAnchor="text" w:horzAnchor="page" w:tblpX="1826" w:tblpY="87"/>
        <w:tblOverlap w:val="never"/>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68"/>
        <w:gridCol w:w="2136"/>
        <w:gridCol w:w="1085"/>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0"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序号</w:t>
            </w:r>
          </w:p>
        </w:tc>
        <w:tc>
          <w:tcPr>
            <w:tcW w:w="1278"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姓名</w:t>
            </w:r>
          </w:p>
        </w:tc>
        <w:tc>
          <w:tcPr>
            <w:tcW w:w="649"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性别</w:t>
            </w:r>
          </w:p>
        </w:tc>
        <w:tc>
          <w:tcPr>
            <w:tcW w:w="2671"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0"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1</w:t>
            </w:r>
          </w:p>
        </w:tc>
        <w:tc>
          <w:tcPr>
            <w:tcW w:w="1278"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李奇勇</w:t>
            </w:r>
          </w:p>
        </w:tc>
        <w:tc>
          <w:tcPr>
            <w:tcW w:w="649"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男</w:t>
            </w:r>
          </w:p>
        </w:tc>
        <w:tc>
          <w:tcPr>
            <w:tcW w:w="2671"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0"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2</w:t>
            </w:r>
          </w:p>
        </w:tc>
        <w:tc>
          <w:tcPr>
            <w:tcW w:w="1278"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张志建</w:t>
            </w:r>
          </w:p>
        </w:tc>
        <w:tc>
          <w:tcPr>
            <w:tcW w:w="649"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男</w:t>
            </w:r>
          </w:p>
        </w:tc>
        <w:tc>
          <w:tcPr>
            <w:tcW w:w="2671"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福建省沙县金沙白炭黑制造有限公司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0"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3</w:t>
            </w:r>
          </w:p>
        </w:tc>
        <w:tc>
          <w:tcPr>
            <w:tcW w:w="1278"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陈家茂</w:t>
            </w:r>
          </w:p>
        </w:tc>
        <w:tc>
          <w:tcPr>
            <w:tcW w:w="649"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男</w:t>
            </w:r>
          </w:p>
        </w:tc>
        <w:tc>
          <w:tcPr>
            <w:tcW w:w="2671"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福建同晟新材料科技股份公司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0"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4</w:t>
            </w:r>
          </w:p>
        </w:tc>
        <w:tc>
          <w:tcPr>
            <w:tcW w:w="1278"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黄世俊</w:t>
            </w:r>
          </w:p>
        </w:tc>
        <w:tc>
          <w:tcPr>
            <w:tcW w:w="649"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男</w:t>
            </w:r>
          </w:p>
        </w:tc>
        <w:tc>
          <w:tcPr>
            <w:tcW w:w="2671"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0"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5</w:t>
            </w:r>
          </w:p>
        </w:tc>
        <w:tc>
          <w:tcPr>
            <w:tcW w:w="1278"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李强</w:t>
            </w:r>
          </w:p>
        </w:tc>
        <w:tc>
          <w:tcPr>
            <w:tcW w:w="649"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男</w:t>
            </w:r>
          </w:p>
        </w:tc>
        <w:tc>
          <w:tcPr>
            <w:tcW w:w="2671"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0"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6</w:t>
            </w:r>
          </w:p>
        </w:tc>
        <w:tc>
          <w:tcPr>
            <w:tcW w:w="1278"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董国文</w:t>
            </w:r>
          </w:p>
        </w:tc>
        <w:tc>
          <w:tcPr>
            <w:tcW w:w="649"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男</w:t>
            </w:r>
          </w:p>
        </w:tc>
        <w:tc>
          <w:tcPr>
            <w:tcW w:w="2671" w:type="pct"/>
            <w:shd w:val="clear" w:color="auto" w:fill="FFFFFF"/>
            <w:tcMar>
              <w:top w:w="75" w:type="dxa"/>
              <w:bottom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caps w:val="0"/>
                <w:color w:val="00000A"/>
                <w:spacing w:val="0"/>
                <w:kern w:val="0"/>
                <w:sz w:val="24"/>
                <w:szCs w:val="24"/>
                <w:vertAlign w:val="baseline"/>
                <w:lang w:val="en-US" w:eastAsia="zh-CN" w:bidi="ar"/>
              </w:rPr>
            </w:pPr>
            <w:r>
              <w:rPr>
                <w:rFonts w:hint="eastAsia" w:ascii="仿宋" w:hAnsi="仿宋" w:eastAsia="仿宋" w:cs="仿宋"/>
                <w:caps w:val="0"/>
                <w:color w:val="00000A"/>
                <w:spacing w:val="0"/>
                <w:kern w:val="0"/>
                <w:sz w:val="24"/>
                <w:szCs w:val="24"/>
                <w:vertAlign w:val="baseline"/>
                <w:lang w:val="en-US" w:eastAsia="zh-CN" w:bidi="ar"/>
              </w:rPr>
              <w:t>三明学院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right="0"/>
        <w:jc w:val="left"/>
        <w:textAlignment w:val="baseline"/>
        <w:rPr>
          <w:rFonts w:hint="eastAsia" w:ascii="仿宋" w:hAnsi="仿宋" w:eastAsia="仿宋" w:cs="仿宋"/>
          <w:b/>
          <w:bCs/>
          <w:caps w:val="0"/>
          <w:color w:val="00000A"/>
          <w:spacing w:val="0"/>
          <w:sz w:val="31"/>
          <w:szCs w:val="31"/>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right="0"/>
        <w:jc w:val="left"/>
        <w:textAlignment w:val="baseline"/>
        <w:rPr>
          <w:rFonts w:hint="eastAsia" w:ascii="仿宋" w:hAnsi="仿宋" w:eastAsia="仿宋" w:cs="仿宋"/>
          <w:b/>
          <w:bCs/>
          <w:caps w:val="0"/>
          <w:color w:val="00000A"/>
          <w:spacing w:val="0"/>
          <w:sz w:val="31"/>
          <w:szCs w:val="31"/>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b/>
          <w:bCs/>
          <w:caps w:val="0"/>
          <w:color w:val="00000A"/>
          <w:spacing w:val="0"/>
          <w:sz w:val="31"/>
          <w:szCs w:val="31"/>
          <w:vertAlign w:val="baseline"/>
          <w:lang w:val="en-US" w:eastAsia="zh-CN"/>
        </w:rPr>
      </w:pPr>
      <w:r>
        <w:rPr>
          <w:rFonts w:hint="eastAsia" w:ascii="仿宋" w:hAnsi="仿宋" w:eastAsia="仿宋" w:cs="仿宋"/>
          <w:b/>
          <w:bCs/>
          <w:caps w:val="0"/>
          <w:color w:val="00000A"/>
          <w:spacing w:val="0"/>
          <w:sz w:val="31"/>
          <w:szCs w:val="31"/>
          <w:vertAlign w:val="baseline"/>
          <w:lang w:val="en-US" w:eastAsia="zh-CN"/>
        </w:rPr>
        <w:t>主要完成单位：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right="0" w:firstLine="620" w:firstLineChars="200"/>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三明学院;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eastAsia"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福建省沙县金沙白炭黑制造有限公司；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556"/>
        <w:jc w:val="left"/>
        <w:textAlignment w:val="baseline"/>
        <w:rPr>
          <w:rFonts w:hint="default" w:ascii="仿宋" w:hAnsi="仿宋" w:eastAsia="仿宋" w:cs="仿宋"/>
          <w:caps w:val="0"/>
          <w:color w:val="00000A"/>
          <w:spacing w:val="0"/>
          <w:sz w:val="31"/>
          <w:szCs w:val="31"/>
          <w:vertAlign w:val="baseline"/>
          <w:lang w:val="en-US" w:eastAsia="zh-CN"/>
        </w:rPr>
      </w:pPr>
      <w:r>
        <w:rPr>
          <w:rFonts w:hint="eastAsia" w:ascii="仿宋" w:hAnsi="仿宋" w:eastAsia="仿宋" w:cs="仿宋"/>
          <w:caps w:val="0"/>
          <w:color w:val="00000A"/>
          <w:spacing w:val="0"/>
          <w:sz w:val="31"/>
          <w:szCs w:val="31"/>
          <w:vertAlign w:val="baseline"/>
          <w:lang w:val="en-US" w:eastAsia="zh-CN"/>
        </w:rPr>
        <w:t>福建同晟新材料科技股份公司</w:t>
      </w: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p>
    <w:p>
      <w:pPr>
        <w:jc w:val="left"/>
        <w:rPr>
          <w:rFonts w:hint="default"/>
          <w:sz w:val="36"/>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NDEzYTFkZDdhOTNkZmNlYTlmZmVhNmVlYWZhY2MifQ=="/>
  </w:docVars>
  <w:rsids>
    <w:rsidRoot w:val="506475EF"/>
    <w:rsid w:val="5064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2024-05-14T02:51:00Z</dcterms:created>
  <dc:creator>陈高兴</dc:creator>
  <cp:lastModifiedBy>陈高兴</cp:lastModifiedBy>
  <dcterms:modified xsi:type="dcterms:W3CDTF">2024-05-14T02:52:15Z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42AB1FB39D9A42F9836593F3813F1BE9_11</vt:lpwstr>
  </property>
</Properties>
</file>