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“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百年闽师 传承发展</w:t>
      </w:r>
      <w:r>
        <w:rPr>
          <w:rFonts w:hint="eastAsia" w:ascii="Times New Roman" w:hAnsi="Times New Roman" w:eastAsia="方正小标宋简体"/>
          <w:sz w:val="44"/>
          <w:szCs w:val="44"/>
        </w:rPr>
        <w:t>”</w:t>
      </w:r>
      <w:r>
        <w:rPr>
          <w:rFonts w:ascii="Times New Roman" w:hAnsi="Times New Roman" w:eastAsia="方正小标宋简体"/>
          <w:sz w:val="44"/>
          <w:szCs w:val="44"/>
        </w:rPr>
        <w:t>学术论坛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论文</w:t>
      </w:r>
      <w:r>
        <w:rPr>
          <w:rFonts w:hint="eastAsia" w:ascii="Times New Roman" w:hAnsi="Times New Roman" w:eastAsia="方正小标宋简体"/>
          <w:sz w:val="44"/>
          <w:szCs w:val="44"/>
        </w:rPr>
        <w:t>参考议</w:t>
      </w:r>
      <w:r>
        <w:rPr>
          <w:rFonts w:ascii="Times New Roman" w:hAnsi="Times New Roman" w:eastAsia="方正小标宋简体"/>
          <w:sz w:val="44"/>
          <w:szCs w:val="44"/>
        </w:rPr>
        <w:t>题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</w:p>
    <w:p>
      <w:pPr>
        <w:numPr>
          <w:ilvl w:val="0"/>
          <w:numId w:val="1"/>
        </w:numPr>
        <w:spacing w:line="5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闽师“一源多流”历史研究</w:t>
      </w:r>
    </w:p>
    <w:p>
      <w:pPr>
        <w:spacing w:line="500" w:lineRule="exact"/>
        <w:ind w:left="640" w:firstLine="320" w:firstLineChars="1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福建高校与全闽师范学堂之源流关系研究</w:t>
      </w:r>
      <w:r>
        <w:rPr>
          <w:rFonts w:ascii="Times New Roman" w:hAnsi="Times New Roman" w:eastAsia="仿宋"/>
          <w:sz w:val="32"/>
          <w:szCs w:val="32"/>
        </w:rPr>
        <w:t>；</w:t>
      </w:r>
    </w:p>
    <w:p>
      <w:pPr>
        <w:spacing w:line="5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ascii="Times New Roman" w:hAnsi="Times New Roman" w:eastAsia="黑体"/>
          <w:sz w:val="32"/>
          <w:szCs w:val="32"/>
        </w:rPr>
        <w:t>闽师办学传统与</w:t>
      </w:r>
      <w:r>
        <w:rPr>
          <w:rFonts w:hint="eastAsia" w:ascii="Times New Roman" w:hAnsi="Times New Roman" w:eastAsia="黑体"/>
          <w:sz w:val="32"/>
          <w:szCs w:val="32"/>
        </w:rPr>
        <w:t>师范</w:t>
      </w:r>
      <w:r>
        <w:rPr>
          <w:rFonts w:ascii="Times New Roman" w:hAnsi="Times New Roman" w:eastAsia="黑体"/>
          <w:sz w:val="32"/>
          <w:szCs w:val="32"/>
        </w:rPr>
        <w:t>教育精神研究</w:t>
      </w: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1.</w:t>
      </w:r>
      <w:r>
        <w:rPr>
          <w:rFonts w:ascii="Times New Roman" w:hAnsi="Times New Roman" w:eastAsia="仿宋"/>
          <w:sz w:val="32"/>
          <w:szCs w:val="32"/>
        </w:rPr>
        <w:t>全闽师范学堂创办背景研究；</w:t>
      </w: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2.</w:t>
      </w:r>
      <w:r>
        <w:rPr>
          <w:rFonts w:ascii="Times New Roman" w:hAnsi="Times New Roman" w:eastAsia="仿宋"/>
          <w:sz w:val="32"/>
          <w:szCs w:val="32"/>
        </w:rPr>
        <w:t>陈宝琛师范教育思想研究；</w:t>
      </w: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3.</w:t>
      </w:r>
      <w:r>
        <w:rPr>
          <w:rFonts w:ascii="Times New Roman" w:hAnsi="Times New Roman" w:eastAsia="仿宋"/>
          <w:sz w:val="32"/>
          <w:szCs w:val="32"/>
        </w:rPr>
        <w:t>全闽师范学堂的经世致用传统研究；</w:t>
      </w: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4.</w:t>
      </w:r>
      <w:r>
        <w:rPr>
          <w:rFonts w:ascii="Times New Roman" w:hAnsi="Times New Roman" w:eastAsia="仿宋"/>
          <w:sz w:val="32"/>
          <w:szCs w:val="32"/>
        </w:rPr>
        <w:t>全闽师范学堂与福州书院之关系研究；</w:t>
      </w: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5.</w:t>
      </w:r>
      <w:r>
        <w:rPr>
          <w:rFonts w:ascii="Times New Roman" w:hAnsi="Times New Roman" w:eastAsia="仿宋"/>
          <w:sz w:val="32"/>
          <w:szCs w:val="32"/>
        </w:rPr>
        <w:t>全闽师范学堂馆藏图书目录研究；</w:t>
      </w: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6.</w:t>
      </w:r>
      <w:r>
        <w:rPr>
          <w:rFonts w:ascii="Times New Roman" w:hAnsi="Times New Roman" w:eastAsia="仿宋"/>
          <w:sz w:val="32"/>
          <w:szCs w:val="32"/>
        </w:rPr>
        <w:t>全闽师范学堂与日本近代教育思想之关联研究；</w:t>
      </w: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7.</w:t>
      </w:r>
      <w:r>
        <w:rPr>
          <w:rFonts w:ascii="Times New Roman" w:hAnsi="Times New Roman" w:eastAsia="仿宋"/>
          <w:sz w:val="32"/>
          <w:szCs w:val="32"/>
        </w:rPr>
        <w:t>全闽师范学堂重要人物</w:t>
      </w:r>
      <w:r>
        <w:rPr>
          <w:rFonts w:hint="eastAsia" w:ascii="Times New Roman" w:hAnsi="Times New Roman" w:eastAsia="仿宋"/>
          <w:sz w:val="32"/>
          <w:szCs w:val="32"/>
        </w:rPr>
        <w:t>和校友</w:t>
      </w:r>
      <w:r>
        <w:rPr>
          <w:rFonts w:ascii="Times New Roman" w:hAnsi="Times New Roman" w:eastAsia="仿宋"/>
          <w:sz w:val="32"/>
          <w:szCs w:val="32"/>
        </w:rPr>
        <w:t>研究；</w:t>
      </w: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8.闽台</w:t>
      </w:r>
      <w:r>
        <w:rPr>
          <w:rFonts w:ascii="Times New Roman" w:hAnsi="Times New Roman" w:eastAsia="仿宋"/>
          <w:sz w:val="32"/>
          <w:szCs w:val="32"/>
        </w:rPr>
        <w:t>师范</w:t>
      </w:r>
      <w:r>
        <w:rPr>
          <w:rFonts w:hint="eastAsia" w:ascii="Times New Roman" w:hAnsi="Times New Roman" w:eastAsia="仿宋"/>
          <w:sz w:val="32"/>
          <w:szCs w:val="32"/>
        </w:rPr>
        <w:t>教育关系及</w:t>
      </w:r>
      <w:r>
        <w:rPr>
          <w:rFonts w:ascii="Times New Roman" w:hAnsi="Times New Roman" w:eastAsia="仿宋"/>
          <w:sz w:val="32"/>
          <w:szCs w:val="32"/>
        </w:rPr>
        <w:t>人物研究；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9.</w:t>
      </w:r>
      <w:r>
        <w:rPr>
          <w:rFonts w:ascii="Times New Roman" w:hAnsi="Times New Roman" w:eastAsia="仿宋"/>
          <w:sz w:val="32"/>
          <w:szCs w:val="32"/>
        </w:rPr>
        <w:t>福建师范</w:t>
      </w:r>
      <w:r>
        <w:rPr>
          <w:rFonts w:hint="eastAsia" w:ascii="Times New Roman" w:hAnsi="Times New Roman" w:eastAsia="仿宋"/>
          <w:sz w:val="32"/>
          <w:szCs w:val="32"/>
        </w:rPr>
        <w:t>教育与</w:t>
      </w:r>
      <w:r>
        <w:rPr>
          <w:rFonts w:ascii="Times New Roman" w:hAnsi="Times New Roman" w:eastAsia="仿宋"/>
          <w:sz w:val="32"/>
          <w:szCs w:val="32"/>
        </w:rPr>
        <w:t>抗战研究</w:t>
      </w:r>
      <w:r>
        <w:rPr>
          <w:rFonts w:hint="eastAsia" w:ascii="Times New Roman" w:hAnsi="Times New Roman" w:eastAsia="仿宋"/>
          <w:sz w:val="32"/>
          <w:szCs w:val="32"/>
        </w:rPr>
        <w:t>；</w:t>
      </w: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10.</w:t>
      </w:r>
      <w:r>
        <w:rPr>
          <w:rFonts w:ascii="Times New Roman" w:hAnsi="Times New Roman" w:eastAsia="仿宋"/>
          <w:sz w:val="32"/>
          <w:szCs w:val="32"/>
        </w:rPr>
        <w:t>福建</w:t>
      </w:r>
      <w:r>
        <w:rPr>
          <w:rFonts w:hint="eastAsia" w:ascii="Times New Roman" w:hAnsi="Times New Roman" w:eastAsia="仿宋"/>
          <w:sz w:val="32"/>
          <w:szCs w:val="32"/>
        </w:rPr>
        <w:t>乡村教育</w:t>
      </w:r>
      <w:r>
        <w:rPr>
          <w:rFonts w:ascii="Times New Roman" w:hAnsi="Times New Roman" w:eastAsia="仿宋"/>
          <w:sz w:val="32"/>
          <w:szCs w:val="32"/>
        </w:rPr>
        <w:t>研究；</w:t>
      </w:r>
    </w:p>
    <w:p>
      <w:pPr>
        <w:spacing w:line="5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ascii="Times New Roman" w:hAnsi="Times New Roman" w:eastAsia="黑体"/>
          <w:sz w:val="32"/>
          <w:szCs w:val="32"/>
        </w:rPr>
        <w:t>师范教育体制与新时代师范生培养研究</w:t>
      </w:r>
    </w:p>
    <w:p>
      <w:pPr>
        <w:spacing w:line="500" w:lineRule="exact"/>
        <w:ind w:left="420" w:firstLine="160" w:firstLineChars="5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1.从</w:t>
      </w:r>
      <w:r>
        <w:rPr>
          <w:rFonts w:ascii="Times New Roman" w:hAnsi="Times New Roman" w:eastAsia="仿宋"/>
          <w:sz w:val="32"/>
          <w:szCs w:val="32"/>
        </w:rPr>
        <w:t>三级师范（中师、大专、本科）</w:t>
      </w:r>
      <w:r>
        <w:rPr>
          <w:rFonts w:hint="eastAsia" w:ascii="Times New Roman" w:hAnsi="Times New Roman" w:eastAsia="仿宋"/>
          <w:sz w:val="32"/>
          <w:szCs w:val="32"/>
        </w:rPr>
        <w:t>到</w:t>
      </w:r>
      <w:r>
        <w:rPr>
          <w:rFonts w:ascii="Times New Roman" w:hAnsi="Times New Roman" w:eastAsia="仿宋"/>
          <w:sz w:val="32"/>
          <w:szCs w:val="32"/>
        </w:rPr>
        <w:t>两级师范（专科、本科）再</w:t>
      </w:r>
      <w:r>
        <w:rPr>
          <w:rFonts w:hint="eastAsia" w:ascii="Times New Roman" w:hAnsi="Times New Roman" w:eastAsia="仿宋"/>
          <w:sz w:val="32"/>
          <w:szCs w:val="32"/>
        </w:rPr>
        <w:t>到</w:t>
      </w:r>
      <w:r>
        <w:rPr>
          <w:rFonts w:ascii="Times New Roman" w:hAnsi="Times New Roman" w:eastAsia="仿宋"/>
          <w:sz w:val="32"/>
          <w:szCs w:val="32"/>
        </w:rPr>
        <w:t>一级师范教育（本科）</w:t>
      </w:r>
      <w:r>
        <w:rPr>
          <w:rFonts w:hint="eastAsia" w:ascii="Times New Roman" w:hAnsi="Times New Roman" w:eastAsia="仿宋"/>
          <w:sz w:val="32"/>
          <w:szCs w:val="32"/>
        </w:rPr>
        <w:t>培养</w:t>
      </w:r>
      <w:r>
        <w:rPr>
          <w:rFonts w:ascii="Times New Roman" w:hAnsi="Times New Roman" w:eastAsia="仿宋"/>
          <w:sz w:val="32"/>
          <w:szCs w:val="32"/>
        </w:rPr>
        <w:t>体制利弊研究；</w:t>
      </w:r>
    </w:p>
    <w:p>
      <w:pPr>
        <w:spacing w:line="500" w:lineRule="exact"/>
        <w:ind w:left="420" w:firstLine="160" w:firstLineChars="5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2.</w:t>
      </w:r>
      <w:r>
        <w:rPr>
          <w:rFonts w:ascii="Times New Roman" w:hAnsi="Times New Roman" w:eastAsia="仿宋"/>
          <w:sz w:val="32"/>
          <w:szCs w:val="32"/>
        </w:rPr>
        <w:t>教师招考与师资准入制度研究；</w:t>
      </w:r>
    </w:p>
    <w:p>
      <w:pPr>
        <w:spacing w:line="500" w:lineRule="exact"/>
        <w:ind w:left="420" w:firstLine="160" w:firstLineChars="5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3.</w:t>
      </w:r>
      <w:r>
        <w:rPr>
          <w:rFonts w:ascii="Times New Roman" w:hAnsi="Times New Roman" w:eastAsia="仿宋"/>
          <w:sz w:val="32"/>
          <w:szCs w:val="32"/>
        </w:rPr>
        <w:t>公费师范生招生与培养研究；</w:t>
      </w:r>
    </w:p>
    <w:p>
      <w:pPr>
        <w:spacing w:line="500" w:lineRule="exact"/>
        <w:ind w:left="420" w:firstLine="160" w:firstLineChars="5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4.</w:t>
      </w:r>
      <w:r>
        <w:rPr>
          <w:rFonts w:ascii="Times New Roman" w:hAnsi="Times New Roman" w:eastAsia="仿宋"/>
          <w:sz w:val="32"/>
          <w:szCs w:val="32"/>
        </w:rPr>
        <w:t>新时代师范生专业思想教育研究；</w:t>
      </w:r>
    </w:p>
    <w:p>
      <w:pPr>
        <w:spacing w:line="500" w:lineRule="exact"/>
        <w:ind w:left="420" w:firstLine="160" w:firstLineChars="5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5.</w:t>
      </w:r>
      <w:r>
        <w:rPr>
          <w:rFonts w:ascii="Times New Roman" w:hAnsi="Times New Roman" w:eastAsia="仿宋"/>
          <w:sz w:val="32"/>
          <w:szCs w:val="32"/>
        </w:rPr>
        <w:t>新时代师范生技能培养</w:t>
      </w:r>
      <w:r>
        <w:rPr>
          <w:rFonts w:hint="eastAsia" w:ascii="Times New Roman" w:hAnsi="Times New Roman" w:eastAsia="仿宋"/>
          <w:sz w:val="32"/>
          <w:szCs w:val="32"/>
        </w:rPr>
        <w:t>和实践能力提升</w:t>
      </w:r>
      <w:r>
        <w:rPr>
          <w:rFonts w:ascii="Times New Roman" w:hAnsi="Times New Roman" w:eastAsia="仿宋"/>
          <w:sz w:val="32"/>
          <w:szCs w:val="32"/>
        </w:rPr>
        <w:t>研究</w:t>
      </w:r>
      <w:r>
        <w:rPr>
          <w:rFonts w:hint="eastAsia" w:ascii="Times New Roman" w:hAnsi="Times New Roman" w:eastAsia="仿宋"/>
          <w:sz w:val="32"/>
          <w:szCs w:val="32"/>
        </w:rPr>
        <w:t>；</w:t>
      </w:r>
    </w:p>
    <w:p>
      <w:pPr>
        <w:spacing w:line="500" w:lineRule="exact"/>
        <w:ind w:left="420" w:firstLine="160" w:firstLineChars="5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6.师范专业认证研究；</w:t>
      </w:r>
    </w:p>
    <w:p>
      <w:pPr>
        <w:spacing w:line="500" w:lineRule="exact"/>
        <w:ind w:left="420" w:firstLine="160" w:firstLineChars="50"/>
      </w:pPr>
      <w:r>
        <w:rPr>
          <w:rFonts w:hint="eastAsia" w:ascii="Times New Roman" w:hAnsi="Times New Roman" w:eastAsia="仿宋"/>
          <w:kern w:val="2"/>
          <w:sz w:val="32"/>
          <w:szCs w:val="32"/>
        </w:rPr>
        <w:t>7.其他有关教师教育理论研究与实践探索的经验及成果。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Restart w:val="0"/>
      <w:lvlText w:val="%2)"/>
      <w:lvlJc w:val="left"/>
      <w:pPr>
        <w:ind w:left="148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900" w:hanging="420"/>
      </w:pPr>
    </w:lvl>
    <w:lvl w:ilvl="3" w:tentative="0">
      <w:start w:val="1"/>
      <w:numFmt w:val="decimal"/>
      <w:lvlRestart w:val="0"/>
      <w:lvlText w:val="%4."/>
      <w:lvlJc w:val="left"/>
      <w:pPr>
        <w:ind w:left="232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74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3160" w:hanging="420"/>
      </w:pPr>
    </w:lvl>
    <w:lvl w:ilvl="6" w:tentative="0">
      <w:start w:val="1"/>
      <w:numFmt w:val="decimal"/>
      <w:lvlRestart w:val="0"/>
      <w:lvlText w:val="%7."/>
      <w:lvlJc w:val="left"/>
      <w:pPr>
        <w:ind w:left="358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400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C5509"/>
    <w:rsid w:val="625C5509"/>
    <w:rsid w:val="64D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2019-04-18T09:15:00Z</dcterms:created>
  <dc:creator>土土</dc:creator>
  <cp:lastModifiedBy>土土</cp:lastModifiedBy>
  <dcterms:modified xsi:type="dcterms:W3CDTF">2019-04-18T09:17:17Z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